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7" w:rsidRPr="0030789E" w:rsidRDefault="00EE383F">
      <w:pPr>
        <w:rPr>
          <w:b/>
          <w:sz w:val="20"/>
          <w:szCs w:val="20"/>
        </w:rPr>
      </w:pPr>
      <w:r w:rsidRPr="0030789E">
        <w:rPr>
          <w:b/>
          <w:sz w:val="20"/>
          <w:szCs w:val="20"/>
        </w:rPr>
        <w:t>P</w:t>
      </w:r>
      <w:r w:rsidR="00B5248C">
        <w:rPr>
          <w:b/>
          <w:sz w:val="20"/>
          <w:szCs w:val="20"/>
        </w:rPr>
        <w:t>ROBLEMATIKA SREDSTEV IZ IGER NA SREČO NAMENJENIH ŠPORTU</w:t>
      </w:r>
      <w:r w:rsidRPr="0030789E">
        <w:rPr>
          <w:b/>
          <w:sz w:val="20"/>
          <w:szCs w:val="20"/>
        </w:rPr>
        <w:t xml:space="preserve"> </w:t>
      </w:r>
    </w:p>
    <w:p w:rsidR="006306C3" w:rsidRPr="0030789E" w:rsidRDefault="006306C3" w:rsidP="006306C3">
      <w:pPr>
        <w:spacing w:line="240" w:lineRule="auto"/>
        <w:rPr>
          <w:rFonts w:ascii="Calibri" w:eastAsia="Times New Roman" w:hAnsi="Calibri" w:cs="Calibri"/>
          <w:noProof w:val="0"/>
          <w:sz w:val="20"/>
          <w:szCs w:val="20"/>
          <w:lang w:eastAsia="sl-SI"/>
        </w:rPr>
      </w:pPr>
    </w:p>
    <w:p w:rsidR="0030789E" w:rsidRPr="0030789E" w:rsidRDefault="0030789E" w:rsidP="006306C3">
      <w:pPr>
        <w:spacing w:line="240" w:lineRule="auto"/>
        <w:rPr>
          <w:rFonts w:ascii="Calibri" w:eastAsia="Times New Roman" w:hAnsi="Calibri" w:cs="Calibri"/>
          <w:noProof w:val="0"/>
          <w:sz w:val="20"/>
          <w:szCs w:val="20"/>
          <w:lang w:eastAsia="sl-SI"/>
        </w:rPr>
      </w:pPr>
    </w:p>
    <w:p w:rsidR="0010100F" w:rsidRPr="0030789E" w:rsidRDefault="00427DE9" w:rsidP="006306C3">
      <w:pPr>
        <w:spacing w:line="240" w:lineRule="auto"/>
        <w:rPr>
          <w:rFonts w:ascii="Calibri" w:eastAsia="Times New Roman" w:hAnsi="Calibri" w:cs="Calibri"/>
          <w:noProof w:val="0"/>
          <w:sz w:val="20"/>
          <w:szCs w:val="20"/>
          <w:lang w:eastAsia="sl-SI"/>
        </w:rPr>
      </w:pPr>
      <w:r w:rsidRPr="0030789E">
        <w:rPr>
          <w:rFonts w:ascii="Calibri" w:eastAsia="Times New Roman" w:hAnsi="Calibri" w:cs="Calibri"/>
          <w:noProof w:val="0"/>
          <w:sz w:val="20"/>
          <w:szCs w:val="20"/>
          <w:lang w:eastAsia="sl-SI"/>
        </w:rPr>
        <w:t>Vlada Republike Slovenije je pripravila</w:t>
      </w:r>
      <w:r w:rsidR="00F51BFB" w:rsidRPr="0030789E">
        <w:rPr>
          <w:rFonts w:ascii="Calibri" w:eastAsia="Times New Roman" w:hAnsi="Calibri" w:cs="Calibri"/>
          <w:noProof w:val="0"/>
          <w:sz w:val="20"/>
          <w:szCs w:val="20"/>
          <w:lang w:eastAsia="sl-SI"/>
        </w:rPr>
        <w:t xml:space="preserve"> predlog </w:t>
      </w:r>
      <w:r w:rsidR="00445249">
        <w:rPr>
          <w:rFonts w:ascii="Calibri" w:eastAsia="Times New Roman" w:hAnsi="Calibri" w:cs="Calibri"/>
          <w:noProof w:val="0"/>
          <w:sz w:val="20"/>
          <w:szCs w:val="20"/>
          <w:lang w:eastAsia="sl-SI"/>
        </w:rPr>
        <w:t>Z</w:t>
      </w:r>
      <w:r w:rsidRPr="0030789E">
        <w:rPr>
          <w:rFonts w:ascii="Calibri" w:eastAsia="Times New Roman" w:hAnsi="Calibri" w:cs="Calibri"/>
          <w:noProof w:val="0"/>
          <w:sz w:val="20"/>
          <w:szCs w:val="20"/>
          <w:lang w:eastAsia="sl-SI"/>
        </w:rPr>
        <w:t>akona o igrah na srečo,</w:t>
      </w:r>
      <w:r w:rsidR="0010100F" w:rsidRPr="0030789E">
        <w:rPr>
          <w:rFonts w:ascii="Calibri" w:eastAsia="Times New Roman" w:hAnsi="Calibri" w:cs="Calibri"/>
          <w:noProof w:val="0"/>
          <w:sz w:val="20"/>
          <w:szCs w:val="20"/>
          <w:lang w:eastAsia="sl-SI"/>
        </w:rPr>
        <w:t xml:space="preserve"> ki </w:t>
      </w:r>
      <w:r w:rsidR="00B5248C">
        <w:rPr>
          <w:rFonts w:ascii="Calibri" w:eastAsia="Times New Roman" w:hAnsi="Calibri" w:cs="Calibri"/>
          <w:noProof w:val="0"/>
          <w:sz w:val="20"/>
          <w:szCs w:val="20"/>
          <w:lang w:eastAsia="sl-SI"/>
        </w:rPr>
        <w:t>naj bi</w:t>
      </w:r>
      <w:r w:rsidR="0010100F" w:rsidRPr="0030789E">
        <w:rPr>
          <w:rFonts w:ascii="Calibri" w:eastAsia="Times New Roman" w:hAnsi="Calibri" w:cs="Calibri"/>
          <w:noProof w:val="0"/>
          <w:sz w:val="20"/>
          <w:szCs w:val="20"/>
          <w:lang w:eastAsia="sl-SI"/>
        </w:rPr>
        <w:t xml:space="preserve"> po</w:t>
      </w:r>
      <w:r w:rsidR="00445249">
        <w:rPr>
          <w:rFonts w:ascii="Calibri" w:eastAsia="Times New Roman" w:hAnsi="Calibri" w:cs="Calibri"/>
          <w:noProof w:val="0"/>
          <w:sz w:val="20"/>
          <w:szCs w:val="20"/>
          <w:lang w:eastAsia="sl-SI"/>
        </w:rPr>
        <w:t>nudnikom iger na srečo omogočal</w:t>
      </w:r>
      <w:r w:rsidR="0010100F" w:rsidRPr="0030789E">
        <w:rPr>
          <w:rFonts w:ascii="Calibri" w:eastAsia="Times New Roman" w:hAnsi="Calibri" w:cs="Calibri"/>
          <w:noProof w:val="0"/>
          <w:sz w:val="20"/>
          <w:szCs w:val="20"/>
          <w:lang w:eastAsia="sl-SI"/>
        </w:rPr>
        <w:t xml:space="preserve"> opravljanje dejavnosti pod konkurenčnimi in stabilnimi pogoji ter hitro prilagajanje</w:t>
      </w:r>
      <w:r w:rsidR="006306C3" w:rsidRPr="0030789E">
        <w:rPr>
          <w:rFonts w:ascii="Calibri" w:eastAsia="Times New Roman" w:hAnsi="Calibri" w:cs="Calibri"/>
          <w:noProof w:val="0"/>
          <w:sz w:val="20"/>
          <w:szCs w:val="20"/>
          <w:lang w:eastAsia="sl-SI"/>
        </w:rPr>
        <w:t xml:space="preserve"> </w:t>
      </w:r>
      <w:r w:rsidR="0010100F" w:rsidRPr="0030789E">
        <w:rPr>
          <w:rFonts w:ascii="Calibri" w:eastAsia="Times New Roman" w:hAnsi="Calibri" w:cs="Calibri"/>
          <w:noProof w:val="0"/>
          <w:sz w:val="20"/>
          <w:szCs w:val="20"/>
          <w:lang w:eastAsia="sl-SI"/>
        </w:rPr>
        <w:t>spremenjenim pogojem poslovanja, državi pa optimiziranje davčnih prihodkov od te dejavnosti, ki jih</w:t>
      </w:r>
      <w:r w:rsidR="006306C3" w:rsidRPr="0030789E">
        <w:rPr>
          <w:rFonts w:ascii="Calibri" w:eastAsia="Times New Roman" w:hAnsi="Calibri" w:cs="Calibri"/>
          <w:noProof w:val="0"/>
          <w:sz w:val="20"/>
          <w:szCs w:val="20"/>
          <w:lang w:eastAsia="sl-SI"/>
        </w:rPr>
        <w:t xml:space="preserve"> </w:t>
      </w:r>
      <w:r w:rsidR="0010100F" w:rsidRPr="0030789E">
        <w:rPr>
          <w:rFonts w:ascii="Calibri" w:eastAsia="Times New Roman" w:hAnsi="Calibri" w:cs="Calibri"/>
          <w:noProof w:val="0"/>
          <w:sz w:val="20"/>
          <w:szCs w:val="20"/>
          <w:lang w:eastAsia="sl-SI"/>
        </w:rPr>
        <w:t>namenja za financiranje dejavnosti invalidskih, humanitarni</w:t>
      </w:r>
      <w:r w:rsidR="009F64BC">
        <w:rPr>
          <w:rFonts w:ascii="Calibri" w:eastAsia="Times New Roman" w:hAnsi="Calibri" w:cs="Calibri"/>
          <w:noProof w:val="0"/>
          <w:sz w:val="20"/>
          <w:szCs w:val="20"/>
          <w:lang w:eastAsia="sl-SI"/>
        </w:rPr>
        <w:t>h in športnih organizacij</w:t>
      </w:r>
      <w:r w:rsidR="00B5248C">
        <w:rPr>
          <w:rFonts w:ascii="Calibri" w:eastAsia="Times New Roman" w:hAnsi="Calibri" w:cs="Calibri"/>
          <w:noProof w:val="0"/>
          <w:sz w:val="20"/>
          <w:szCs w:val="20"/>
          <w:lang w:eastAsia="sl-SI"/>
        </w:rPr>
        <w:t xml:space="preserve">. </w:t>
      </w:r>
      <w:r w:rsidR="0010100F" w:rsidRPr="0030789E">
        <w:rPr>
          <w:rFonts w:ascii="Calibri" w:eastAsia="Times New Roman" w:hAnsi="Calibri" w:cs="Calibri"/>
          <w:noProof w:val="0"/>
          <w:sz w:val="20"/>
          <w:szCs w:val="20"/>
          <w:lang w:eastAsia="sl-SI"/>
        </w:rPr>
        <w:t xml:space="preserve"> </w:t>
      </w:r>
    </w:p>
    <w:p w:rsidR="00427DE9" w:rsidRPr="0030789E" w:rsidRDefault="00427DE9" w:rsidP="006306C3">
      <w:pPr>
        <w:spacing w:line="240" w:lineRule="auto"/>
        <w:rPr>
          <w:rFonts w:ascii="Calibri" w:eastAsia="Times New Roman" w:hAnsi="Calibri" w:cs="Calibri"/>
          <w:noProof w:val="0"/>
          <w:sz w:val="20"/>
          <w:szCs w:val="20"/>
          <w:lang w:eastAsia="sl-SI"/>
        </w:rPr>
      </w:pPr>
    </w:p>
    <w:p w:rsidR="009F64BC" w:rsidRDefault="009F64BC" w:rsidP="006306C3">
      <w:pPr>
        <w:spacing w:line="240" w:lineRule="auto"/>
        <w:rPr>
          <w:rFonts w:ascii="Calibri" w:eastAsia="Times New Roman" w:hAnsi="Calibri" w:cs="Calibri"/>
          <w:bCs/>
          <w:noProof w:val="0"/>
          <w:sz w:val="20"/>
          <w:szCs w:val="20"/>
          <w:lang w:eastAsia="sl-SI"/>
        </w:rPr>
      </w:pPr>
      <w:r>
        <w:rPr>
          <w:rFonts w:ascii="Calibri" w:eastAsia="Times New Roman" w:hAnsi="Calibri" w:cs="Calibri"/>
          <w:bCs/>
          <w:noProof w:val="0"/>
          <w:sz w:val="20"/>
          <w:szCs w:val="20"/>
          <w:lang w:eastAsia="sl-SI"/>
        </w:rPr>
        <w:t>Stanje, v k</w:t>
      </w:r>
      <w:r w:rsidR="00445249">
        <w:rPr>
          <w:rFonts w:ascii="Calibri" w:eastAsia="Times New Roman" w:hAnsi="Calibri" w:cs="Calibri"/>
          <w:bCs/>
          <w:noProof w:val="0"/>
          <w:sz w:val="20"/>
          <w:szCs w:val="20"/>
          <w:lang w:eastAsia="sl-SI"/>
        </w:rPr>
        <w:t>aterem smo se znašli po uvedbi d</w:t>
      </w:r>
      <w:r>
        <w:rPr>
          <w:rFonts w:ascii="Calibri" w:eastAsia="Times New Roman" w:hAnsi="Calibri" w:cs="Calibri"/>
          <w:bCs/>
          <w:noProof w:val="0"/>
          <w:sz w:val="20"/>
          <w:szCs w:val="20"/>
          <w:lang w:eastAsia="sl-SI"/>
        </w:rPr>
        <w:t xml:space="preserve">avka od srečk, je </w:t>
      </w:r>
      <w:r w:rsidR="00983B64">
        <w:rPr>
          <w:rFonts w:ascii="Calibri" w:eastAsia="Times New Roman" w:hAnsi="Calibri" w:cs="Calibri"/>
          <w:bCs/>
          <w:noProof w:val="0"/>
          <w:sz w:val="20"/>
          <w:szCs w:val="20"/>
          <w:lang w:eastAsia="sl-SI"/>
        </w:rPr>
        <w:t xml:space="preserve">za našo družbo </w:t>
      </w:r>
      <w:r w:rsidR="00445249">
        <w:rPr>
          <w:rFonts w:ascii="Calibri" w:eastAsia="Times New Roman" w:hAnsi="Calibri" w:cs="Calibri"/>
          <w:bCs/>
          <w:noProof w:val="0"/>
          <w:sz w:val="20"/>
          <w:szCs w:val="20"/>
          <w:lang w:eastAsia="sl-SI"/>
        </w:rPr>
        <w:t>in posredno druge prejemnike</w:t>
      </w:r>
      <w:r w:rsidR="00E90B5D">
        <w:rPr>
          <w:rFonts w:ascii="Calibri" w:eastAsia="Times New Roman" w:hAnsi="Calibri" w:cs="Calibri"/>
          <w:bCs/>
          <w:noProof w:val="0"/>
          <w:sz w:val="20"/>
          <w:szCs w:val="20"/>
          <w:lang w:eastAsia="sl-SI"/>
        </w:rPr>
        <w:t xml:space="preserve"> sredstev, zaradi katerih je</w:t>
      </w:r>
      <w:r w:rsidR="00076C95">
        <w:rPr>
          <w:rFonts w:ascii="Calibri" w:eastAsia="Times New Roman" w:hAnsi="Calibri" w:cs="Calibri"/>
          <w:bCs/>
          <w:noProof w:val="0"/>
          <w:sz w:val="20"/>
          <w:szCs w:val="20"/>
          <w:lang w:eastAsia="sl-SI"/>
        </w:rPr>
        <w:t xml:space="preserve"> igre na</w:t>
      </w:r>
      <w:r w:rsidR="00E90B5D">
        <w:rPr>
          <w:rFonts w:ascii="Calibri" w:eastAsia="Times New Roman" w:hAnsi="Calibri" w:cs="Calibri"/>
          <w:bCs/>
          <w:noProof w:val="0"/>
          <w:sz w:val="20"/>
          <w:szCs w:val="20"/>
          <w:lang w:eastAsia="sl-SI"/>
        </w:rPr>
        <w:t xml:space="preserve"> </w:t>
      </w:r>
      <w:r w:rsidR="00076C95">
        <w:rPr>
          <w:rFonts w:ascii="Calibri" w:eastAsia="Times New Roman" w:hAnsi="Calibri" w:cs="Calibri"/>
          <w:bCs/>
          <w:noProof w:val="0"/>
          <w:sz w:val="20"/>
          <w:szCs w:val="20"/>
          <w:lang w:eastAsia="sl-SI"/>
        </w:rPr>
        <w:t xml:space="preserve">srečo </w:t>
      </w:r>
      <w:r w:rsidR="00E90B5D">
        <w:rPr>
          <w:rFonts w:ascii="Calibri" w:eastAsia="Times New Roman" w:hAnsi="Calibri" w:cs="Calibri"/>
          <w:bCs/>
          <w:noProof w:val="0"/>
          <w:sz w:val="20"/>
          <w:szCs w:val="20"/>
          <w:lang w:eastAsia="sl-SI"/>
        </w:rPr>
        <w:t>pravzaprav dovoljeno prirejati,</w:t>
      </w:r>
      <w:r w:rsidR="00076C95">
        <w:rPr>
          <w:rFonts w:ascii="Calibri" w:eastAsia="Times New Roman" w:hAnsi="Calibri" w:cs="Calibri"/>
          <w:bCs/>
          <w:noProof w:val="0"/>
          <w:sz w:val="20"/>
          <w:szCs w:val="20"/>
          <w:lang w:eastAsia="sl-SI"/>
        </w:rPr>
        <w:t xml:space="preserve"> </w:t>
      </w:r>
      <w:r>
        <w:rPr>
          <w:rFonts w:ascii="Calibri" w:eastAsia="Times New Roman" w:hAnsi="Calibri" w:cs="Calibri"/>
          <w:bCs/>
          <w:noProof w:val="0"/>
          <w:sz w:val="20"/>
          <w:szCs w:val="20"/>
          <w:lang w:eastAsia="sl-SI"/>
        </w:rPr>
        <w:t xml:space="preserve">nestabilno, pogoji delovanja so postali popolnoma nekonkurenčni, </w:t>
      </w:r>
      <w:r w:rsidR="00445249">
        <w:rPr>
          <w:rFonts w:ascii="Calibri" w:eastAsia="Times New Roman" w:hAnsi="Calibri" w:cs="Calibri"/>
          <w:bCs/>
          <w:noProof w:val="0"/>
          <w:sz w:val="20"/>
          <w:szCs w:val="20"/>
          <w:lang w:eastAsia="sl-SI"/>
        </w:rPr>
        <w:t>optimiziranje davčnih prihodkov</w:t>
      </w:r>
      <w:r>
        <w:rPr>
          <w:rFonts w:ascii="Calibri" w:eastAsia="Times New Roman" w:hAnsi="Calibri" w:cs="Calibri"/>
          <w:bCs/>
          <w:noProof w:val="0"/>
          <w:sz w:val="20"/>
          <w:szCs w:val="20"/>
          <w:lang w:eastAsia="sl-SI"/>
        </w:rPr>
        <w:t xml:space="preserve"> za namen financiranja zgoraj navedenih organizacij,  pa </w:t>
      </w:r>
      <w:r w:rsidR="00E90B5D">
        <w:rPr>
          <w:rFonts w:ascii="Calibri" w:eastAsia="Times New Roman" w:hAnsi="Calibri" w:cs="Calibri"/>
          <w:bCs/>
          <w:noProof w:val="0"/>
          <w:sz w:val="20"/>
          <w:szCs w:val="20"/>
          <w:lang w:eastAsia="sl-SI"/>
        </w:rPr>
        <w:t xml:space="preserve">dosega prav obratne učinke. </w:t>
      </w:r>
    </w:p>
    <w:p w:rsidR="00E90B5D" w:rsidRDefault="00E90B5D" w:rsidP="006306C3">
      <w:pPr>
        <w:spacing w:line="240" w:lineRule="auto"/>
        <w:rPr>
          <w:rFonts w:ascii="Calibri" w:eastAsia="Times New Roman" w:hAnsi="Calibri" w:cs="Calibri"/>
          <w:noProof w:val="0"/>
          <w:sz w:val="20"/>
          <w:szCs w:val="20"/>
          <w:lang w:eastAsia="sl-SI"/>
        </w:rPr>
      </w:pPr>
    </w:p>
    <w:p w:rsidR="00427DE9" w:rsidRPr="0030789E" w:rsidRDefault="00427DE9" w:rsidP="006306C3">
      <w:pPr>
        <w:spacing w:line="240" w:lineRule="auto"/>
        <w:rPr>
          <w:rFonts w:ascii="Calibri" w:eastAsia="Times New Roman" w:hAnsi="Calibri" w:cs="Calibri"/>
          <w:noProof w:val="0"/>
          <w:sz w:val="20"/>
          <w:szCs w:val="20"/>
          <w:lang w:eastAsia="sl-SI"/>
        </w:rPr>
      </w:pPr>
      <w:r w:rsidRPr="0030789E">
        <w:rPr>
          <w:rFonts w:ascii="Calibri" w:eastAsia="Times New Roman" w:hAnsi="Calibri" w:cs="Calibri"/>
          <w:noProof w:val="0"/>
          <w:sz w:val="20"/>
          <w:szCs w:val="20"/>
          <w:lang w:eastAsia="sl-SI"/>
        </w:rPr>
        <w:t>Julija 2013 je bi sprejet Zakon o davku od srečk, z obračunavanjem davka pa smo pričeli v mesecu septembru.</w:t>
      </w:r>
      <w:r w:rsidR="00C74D0B" w:rsidRPr="0030789E">
        <w:rPr>
          <w:rFonts w:ascii="Calibri" w:eastAsia="Times New Roman" w:hAnsi="Calibri" w:cs="Calibri"/>
          <w:noProof w:val="0"/>
          <w:sz w:val="20"/>
          <w:szCs w:val="20"/>
          <w:lang w:eastAsia="sl-SI"/>
        </w:rPr>
        <w:t xml:space="preserve"> </w:t>
      </w:r>
      <w:r w:rsidR="00840AE4">
        <w:rPr>
          <w:rFonts w:ascii="Calibri" w:eastAsia="Times New Roman" w:hAnsi="Calibri" w:cs="Calibri"/>
          <w:noProof w:val="0"/>
          <w:sz w:val="20"/>
          <w:szCs w:val="20"/>
          <w:lang w:eastAsia="sl-SI"/>
        </w:rPr>
        <w:t xml:space="preserve">Davek od srečk v celoti pripada proračunu Republike Slovenije, </w:t>
      </w:r>
      <w:r w:rsidR="00840AE4">
        <w:rPr>
          <w:rFonts w:ascii="Calibri" w:eastAsia="Times New Roman" w:hAnsi="Calibri" w:cs="Calibri"/>
          <w:bCs/>
          <w:noProof w:val="0"/>
          <w:sz w:val="20"/>
          <w:szCs w:val="20"/>
          <w:lang w:eastAsia="sl-SI"/>
        </w:rPr>
        <w:t>k</w:t>
      </w:r>
      <w:r w:rsidR="009F64BC" w:rsidRPr="0030789E">
        <w:rPr>
          <w:rFonts w:ascii="Calibri" w:eastAsia="Times New Roman" w:hAnsi="Calibri" w:cs="Calibri"/>
          <w:bCs/>
          <w:noProof w:val="0"/>
          <w:sz w:val="20"/>
          <w:szCs w:val="20"/>
          <w:lang w:eastAsia="sl-SI"/>
        </w:rPr>
        <w:t xml:space="preserve">oncesijska dajatev </w:t>
      </w:r>
      <w:r w:rsidR="00840AE4">
        <w:rPr>
          <w:rFonts w:ascii="Calibri" w:eastAsia="Times New Roman" w:hAnsi="Calibri" w:cs="Calibri"/>
          <w:bCs/>
          <w:noProof w:val="0"/>
          <w:sz w:val="20"/>
          <w:szCs w:val="20"/>
          <w:lang w:eastAsia="sl-SI"/>
        </w:rPr>
        <w:t xml:space="preserve">pa </w:t>
      </w:r>
      <w:r w:rsidR="009F64BC" w:rsidRPr="0030789E">
        <w:rPr>
          <w:rFonts w:ascii="Calibri" w:eastAsia="Times New Roman" w:hAnsi="Calibri" w:cs="Calibri"/>
          <w:bCs/>
          <w:noProof w:val="0"/>
          <w:sz w:val="20"/>
          <w:szCs w:val="20"/>
          <w:lang w:eastAsia="sl-SI"/>
        </w:rPr>
        <w:t>se v celoti namenja financiranju dejavnosti invalidskih, humanitarnih (FIHO) in športnih organizacij (FŠO).</w:t>
      </w:r>
      <w:r w:rsidR="00840AE4" w:rsidRPr="00840AE4">
        <w:rPr>
          <w:rFonts w:ascii="Calibri" w:eastAsia="Times New Roman" w:hAnsi="Calibri" w:cs="Calibri"/>
          <w:noProof w:val="0"/>
          <w:sz w:val="20"/>
          <w:szCs w:val="20"/>
          <w:lang w:eastAsia="sl-SI"/>
        </w:rPr>
        <w:t xml:space="preserve"> </w:t>
      </w:r>
      <w:r w:rsidR="00840AE4" w:rsidRPr="0030789E">
        <w:rPr>
          <w:rFonts w:ascii="Calibri" w:eastAsia="Times New Roman" w:hAnsi="Calibri" w:cs="Calibri"/>
          <w:noProof w:val="0"/>
          <w:sz w:val="20"/>
          <w:szCs w:val="20"/>
          <w:lang w:eastAsia="sl-SI"/>
        </w:rPr>
        <w:t>Prvič po letu 2009 so prejemniki sredstev prejeli manj sredstev kot leto prej, čeprav smo davek obračunali zgolj za štiri mesece.</w:t>
      </w:r>
      <w:r w:rsidR="00E860E9" w:rsidRPr="00E860E9">
        <w:rPr>
          <w:rFonts w:ascii="Calibri" w:eastAsia="Times New Roman" w:hAnsi="Calibri" w:cs="Calibri"/>
          <w:noProof w:val="0"/>
          <w:sz w:val="20"/>
          <w:szCs w:val="20"/>
          <w:lang w:eastAsia="sl-SI"/>
        </w:rPr>
        <w:t xml:space="preserve"> </w:t>
      </w:r>
      <w:r w:rsidR="00E860E9">
        <w:rPr>
          <w:rFonts w:ascii="Calibri" w:eastAsia="Times New Roman" w:hAnsi="Calibri" w:cs="Calibri"/>
          <w:noProof w:val="0"/>
          <w:sz w:val="20"/>
          <w:szCs w:val="20"/>
          <w:lang w:eastAsia="sl-SI"/>
        </w:rPr>
        <w:t>Davek od srečk je dejansko davek na vsa bruto vplačila.</w:t>
      </w:r>
    </w:p>
    <w:p w:rsidR="00EE383F" w:rsidRPr="0030789E" w:rsidRDefault="00EE383F" w:rsidP="00EE383F">
      <w:pPr>
        <w:spacing w:line="240" w:lineRule="auto"/>
        <w:rPr>
          <w:rFonts w:ascii="Calibri" w:eastAsia="Times New Roman" w:hAnsi="Calibri" w:cs="Calibri"/>
          <w:b/>
          <w:noProof w:val="0"/>
          <w:sz w:val="20"/>
          <w:szCs w:val="20"/>
          <w:lang w:eastAsia="sl-SI"/>
        </w:rPr>
      </w:pPr>
    </w:p>
    <w:tbl>
      <w:tblPr>
        <w:tblpPr w:leftFromText="141" w:rightFromText="141" w:vertAnchor="text" w:horzAnchor="margin" w:tblpXSpec="center" w:tblpY="113"/>
        <w:tblW w:w="7544" w:type="dxa"/>
        <w:tblCellMar>
          <w:left w:w="70" w:type="dxa"/>
          <w:right w:w="70" w:type="dxa"/>
        </w:tblCellMar>
        <w:tblLook w:val="04A0" w:firstRow="1" w:lastRow="0" w:firstColumn="1" w:lastColumn="0" w:noHBand="0" w:noVBand="1"/>
      </w:tblPr>
      <w:tblGrid>
        <w:gridCol w:w="2100"/>
        <w:gridCol w:w="1361"/>
        <w:gridCol w:w="1361"/>
        <w:gridCol w:w="1361"/>
        <w:gridCol w:w="1361"/>
      </w:tblGrid>
      <w:tr w:rsidR="00427DE9" w:rsidRPr="0030789E" w:rsidTr="00427DE9">
        <w:trPr>
          <w:trHeight w:val="283"/>
        </w:trPr>
        <w:tc>
          <w:tcPr>
            <w:tcW w:w="2100" w:type="dxa"/>
            <w:tcBorders>
              <w:top w:val="nil"/>
              <w:left w:val="nil"/>
              <w:bottom w:val="dotted" w:sz="4" w:space="0" w:color="auto"/>
              <w:right w:val="nil"/>
            </w:tcBorders>
            <w:shd w:val="clear" w:color="auto" w:fill="DDD9C3" w:themeFill="background2" w:themeFillShade="E6"/>
            <w:vAlign w:val="center"/>
            <w:hideMark/>
          </w:tcPr>
          <w:p w:rsidR="00427DE9" w:rsidRPr="007F3D67" w:rsidRDefault="00427DE9" w:rsidP="007F3D67">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 xml:space="preserve">Koncesijska dajatev </w:t>
            </w:r>
            <w:r w:rsidR="007F3D67">
              <w:rPr>
                <w:rFonts w:ascii="Calibri" w:eastAsia="Times New Roman" w:hAnsi="Calibri" w:cs="Calibri"/>
                <w:bCs/>
                <w:noProof w:val="0"/>
                <w:sz w:val="18"/>
                <w:szCs w:val="20"/>
                <w:lang w:eastAsia="sl-SI"/>
              </w:rPr>
              <w:t>(€)</w:t>
            </w:r>
          </w:p>
        </w:tc>
        <w:tc>
          <w:tcPr>
            <w:tcW w:w="1361" w:type="dxa"/>
            <w:tcBorders>
              <w:top w:val="nil"/>
              <w:left w:val="nil"/>
              <w:bottom w:val="dotted" w:sz="4" w:space="0" w:color="auto"/>
              <w:right w:val="nil"/>
            </w:tcBorders>
            <w:shd w:val="clear" w:color="auto" w:fill="DDD9C3" w:themeFill="background2" w:themeFillShade="E6"/>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2010</w:t>
            </w:r>
          </w:p>
        </w:tc>
        <w:tc>
          <w:tcPr>
            <w:tcW w:w="1361" w:type="dxa"/>
            <w:tcBorders>
              <w:top w:val="nil"/>
              <w:left w:val="nil"/>
              <w:bottom w:val="dotted" w:sz="4" w:space="0" w:color="auto"/>
              <w:right w:val="nil"/>
            </w:tcBorders>
            <w:shd w:val="clear" w:color="auto" w:fill="DDD9C3" w:themeFill="background2" w:themeFillShade="E6"/>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2011</w:t>
            </w:r>
          </w:p>
        </w:tc>
        <w:tc>
          <w:tcPr>
            <w:tcW w:w="1361" w:type="dxa"/>
            <w:tcBorders>
              <w:top w:val="nil"/>
              <w:left w:val="nil"/>
              <w:bottom w:val="dotted" w:sz="4" w:space="0" w:color="auto"/>
              <w:right w:val="nil"/>
            </w:tcBorders>
            <w:shd w:val="clear" w:color="auto" w:fill="DDD9C3" w:themeFill="background2" w:themeFillShade="E6"/>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2012</w:t>
            </w:r>
          </w:p>
        </w:tc>
        <w:tc>
          <w:tcPr>
            <w:tcW w:w="1361" w:type="dxa"/>
            <w:tcBorders>
              <w:top w:val="nil"/>
              <w:left w:val="nil"/>
              <w:bottom w:val="dotted" w:sz="4" w:space="0" w:color="auto"/>
              <w:right w:val="nil"/>
            </w:tcBorders>
            <w:shd w:val="clear" w:color="auto" w:fill="DDD9C3" w:themeFill="background2" w:themeFillShade="E6"/>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2013</w:t>
            </w:r>
          </w:p>
        </w:tc>
      </w:tr>
      <w:tr w:rsidR="00427DE9" w:rsidRPr="0030789E" w:rsidTr="00427DE9">
        <w:trPr>
          <w:trHeight w:val="283"/>
        </w:trPr>
        <w:tc>
          <w:tcPr>
            <w:tcW w:w="2100" w:type="dxa"/>
            <w:tcBorders>
              <w:top w:val="nil"/>
              <w:left w:val="nil"/>
              <w:bottom w:val="dotted" w:sz="4" w:space="0" w:color="auto"/>
              <w:right w:val="nil"/>
            </w:tcBorders>
            <w:shd w:val="clear" w:color="auto" w:fill="auto"/>
            <w:noWrap/>
            <w:vAlign w:val="center"/>
            <w:hideMark/>
          </w:tcPr>
          <w:p w:rsidR="00427DE9" w:rsidRPr="007F3D67" w:rsidRDefault="00427DE9" w:rsidP="00427DE9">
            <w:pPr>
              <w:spacing w:line="240" w:lineRule="auto"/>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FŠO</w:t>
            </w:r>
          </w:p>
        </w:tc>
        <w:tc>
          <w:tcPr>
            <w:tcW w:w="1361" w:type="dxa"/>
            <w:tcBorders>
              <w:top w:val="nil"/>
              <w:left w:val="nil"/>
              <w:bottom w:val="dotted" w:sz="4" w:space="0" w:color="auto"/>
              <w:right w:val="nil"/>
            </w:tcBorders>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4.227.929</w:t>
            </w:r>
          </w:p>
        </w:tc>
        <w:tc>
          <w:tcPr>
            <w:tcW w:w="1361" w:type="dxa"/>
            <w:tcBorders>
              <w:top w:val="nil"/>
              <w:left w:val="nil"/>
              <w:bottom w:val="dotted" w:sz="4" w:space="0" w:color="auto"/>
              <w:right w:val="nil"/>
            </w:tcBorders>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4.532.551</w:t>
            </w:r>
          </w:p>
        </w:tc>
        <w:tc>
          <w:tcPr>
            <w:tcW w:w="1361" w:type="dxa"/>
            <w:tcBorders>
              <w:top w:val="nil"/>
              <w:left w:val="nil"/>
              <w:bottom w:val="dotted" w:sz="4" w:space="0" w:color="auto"/>
              <w:right w:val="nil"/>
            </w:tcBorders>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4.592.671</w:t>
            </w:r>
          </w:p>
        </w:tc>
        <w:tc>
          <w:tcPr>
            <w:tcW w:w="1361" w:type="dxa"/>
            <w:tcBorders>
              <w:top w:val="nil"/>
              <w:left w:val="nil"/>
              <w:bottom w:val="dotted" w:sz="4" w:space="0" w:color="auto"/>
              <w:right w:val="nil"/>
            </w:tcBorders>
            <w:shd w:val="clear" w:color="auto" w:fill="auto"/>
            <w:noWrap/>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4.335.170</w:t>
            </w:r>
          </w:p>
        </w:tc>
      </w:tr>
      <w:tr w:rsidR="00427DE9" w:rsidRPr="0030789E" w:rsidTr="00427DE9">
        <w:trPr>
          <w:trHeight w:val="283"/>
        </w:trPr>
        <w:tc>
          <w:tcPr>
            <w:tcW w:w="2100" w:type="dxa"/>
            <w:tcBorders>
              <w:top w:val="nil"/>
              <w:left w:val="nil"/>
              <w:bottom w:val="dotted" w:sz="4" w:space="0" w:color="auto"/>
              <w:right w:val="nil"/>
            </w:tcBorders>
            <w:shd w:val="clear" w:color="auto" w:fill="auto"/>
            <w:noWrap/>
            <w:vAlign w:val="center"/>
            <w:hideMark/>
          </w:tcPr>
          <w:p w:rsidR="00427DE9" w:rsidRPr="007F3D67" w:rsidRDefault="00427DE9" w:rsidP="00427DE9">
            <w:pPr>
              <w:spacing w:line="240" w:lineRule="auto"/>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FIHO</w:t>
            </w:r>
          </w:p>
        </w:tc>
        <w:tc>
          <w:tcPr>
            <w:tcW w:w="1361" w:type="dxa"/>
            <w:tcBorders>
              <w:top w:val="nil"/>
              <w:left w:val="nil"/>
              <w:bottom w:val="dotted" w:sz="4" w:space="0" w:color="auto"/>
              <w:right w:val="nil"/>
            </w:tcBorders>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1.148.918</w:t>
            </w:r>
          </w:p>
        </w:tc>
        <w:tc>
          <w:tcPr>
            <w:tcW w:w="1361" w:type="dxa"/>
            <w:tcBorders>
              <w:top w:val="nil"/>
              <w:left w:val="nil"/>
              <w:bottom w:val="dotted" w:sz="4" w:space="0" w:color="auto"/>
              <w:right w:val="nil"/>
            </w:tcBorders>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1.242.848</w:t>
            </w:r>
          </w:p>
        </w:tc>
        <w:tc>
          <w:tcPr>
            <w:tcW w:w="1361" w:type="dxa"/>
            <w:tcBorders>
              <w:top w:val="nil"/>
              <w:left w:val="nil"/>
              <w:bottom w:val="dotted" w:sz="4" w:space="0" w:color="auto"/>
              <w:right w:val="nil"/>
            </w:tcBorders>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1.244.158</w:t>
            </w:r>
          </w:p>
        </w:tc>
        <w:tc>
          <w:tcPr>
            <w:tcW w:w="1361" w:type="dxa"/>
            <w:tcBorders>
              <w:top w:val="nil"/>
              <w:left w:val="nil"/>
              <w:bottom w:val="dotted" w:sz="4" w:space="0" w:color="auto"/>
              <w:right w:val="nil"/>
            </w:tcBorders>
            <w:shd w:val="clear" w:color="auto" w:fill="auto"/>
            <w:noWrap/>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1.178.037</w:t>
            </w:r>
          </w:p>
        </w:tc>
      </w:tr>
      <w:tr w:rsidR="00427DE9" w:rsidRPr="0030789E" w:rsidTr="00427DE9">
        <w:trPr>
          <w:trHeight w:val="283"/>
        </w:trPr>
        <w:tc>
          <w:tcPr>
            <w:tcW w:w="2100" w:type="dxa"/>
            <w:tcBorders>
              <w:top w:val="nil"/>
              <w:left w:val="nil"/>
              <w:bottom w:val="dotted" w:sz="4" w:space="0" w:color="auto"/>
              <w:right w:val="nil"/>
            </w:tcBorders>
            <w:shd w:val="clear" w:color="auto" w:fill="DDD9C3" w:themeFill="background2" w:themeFillShade="E6"/>
            <w:noWrap/>
            <w:vAlign w:val="center"/>
            <w:hideMark/>
          </w:tcPr>
          <w:p w:rsidR="00427DE9" w:rsidRPr="007F3D67" w:rsidRDefault="00427DE9" w:rsidP="00427DE9">
            <w:pPr>
              <w:spacing w:line="240" w:lineRule="auto"/>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SKUPAJ</w:t>
            </w:r>
          </w:p>
        </w:tc>
        <w:tc>
          <w:tcPr>
            <w:tcW w:w="1361" w:type="dxa"/>
            <w:tcBorders>
              <w:top w:val="nil"/>
              <w:left w:val="nil"/>
              <w:bottom w:val="dotted" w:sz="4" w:space="0" w:color="auto"/>
              <w:right w:val="nil"/>
            </w:tcBorders>
            <w:shd w:val="clear" w:color="auto" w:fill="DDD9C3" w:themeFill="background2" w:themeFillShade="E6"/>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5.376.847</w:t>
            </w:r>
          </w:p>
        </w:tc>
        <w:tc>
          <w:tcPr>
            <w:tcW w:w="1361" w:type="dxa"/>
            <w:tcBorders>
              <w:top w:val="nil"/>
              <w:left w:val="nil"/>
              <w:bottom w:val="dotted" w:sz="4" w:space="0" w:color="auto"/>
              <w:right w:val="nil"/>
            </w:tcBorders>
            <w:shd w:val="clear" w:color="auto" w:fill="DDD9C3" w:themeFill="background2" w:themeFillShade="E6"/>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5.775.399</w:t>
            </w:r>
          </w:p>
        </w:tc>
        <w:tc>
          <w:tcPr>
            <w:tcW w:w="1361" w:type="dxa"/>
            <w:tcBorders>
              <w:top w:val="nil"/>
              <w:left w:val="nil"/>
              <w:bottom w:val="dotted" w:sz="4" w:space="0" w:color="auto"/>
              <w:right w:val="nil"/>
            </w:tcBorders>
            <w:shd w:val="clear" w:color="auto" w:fill="DDD9C3" w:themeFill="background2" w:themeFillShade="E6"/>
            <w:vAlign w:val="center"/>
          </w:tcPr>
          <w:p w:rsidR="00427DE9" w:rsidRPr="007F3D67" w:rsidRDefault="00427DE9" w:rsidP="00D264AA">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5.836.829</w:t>
            </w:r>
          </w:p>
        </w:tc>
        <w:tc>
          <w:tcPr>
            <w:tcW w:w="1361" w:type="dxa"/>
            <w:tcBorders>
              <w:top w:val="nil"/>
              <w:left w:val="nil"/>
              <w:bottom w:val="dotted" w:sz="4" w:space="0" w:color="auto"/>
              <w:right w:val="nil"/>
            </w:tcBorders>
            <w:shd w:val="clear" w:color="auto" w:fill="DDD9C3" w:themeFill="background2" w:themeFillShade="E6"/>
            <w:noWrap/>
            <w:vAlign w:val="center"/>
          </w:tcPr>
          <w:p w:rsidR="00427DE9" w:rsidRPr="005F41D5" w:rsidRDefault="00427DE9" w:rsidP="00D264AA">
            <w:pPr>
              <w:spacing w:line="240" w:lineRule="auto"/>
              <w:jc w:val="center"/>
              <w:rPr>
                <w:rFonts w:ascii="Calibri" w:eastAsia="Times New Roman" w:hAnsi="Calibri" w:cs="Calibri"/>
                <w:b/>
                <w:bCs/>
                <w:noProof w:val="0"/>
                <w:sz w:val="18"/>
                <w:szCs w:val="20"/>
                <w:lang w:eastAsia="sl-SI"/>
              </w:rPr>
            </w:pPr>
            <w:r w:rsidRPr="005F41D5">
              <w:rPr>
                <w:rFonts w:ascii="Calibri" w:eastAsia="Times New Roman" w:hAnsi="Calibri" w:cs="Calibri"/>
                <w:b/>
                <w:bCs/>
                <w:noProof w:val="0"/>
                <w:color w:val="FF0000"/>
                <w:sz w:val="18"/>
                <w:szCs w:val="20"/>
                <w:lang w:eastAsia="sl-SI"/>
              </w:rPr>
              <w:t>5.513.207</w:t>
            </w:r>
          </w:p>
        </w:tc>
      </w:tr>
    </w:tbl>
    <w:p w:rsidR="00427DE9" w:rsidRPr="0030789E" w:rsidRDefault="00427DE9" w:rsidP="00AB6C86">
      <w:pPr>
        <w:spacing w:line="240" w:lineRule="auto"/>
        <w:rPr>
          <w:rFonts w:ascii="Calibri" w:eastAsia="Times New Roman" w:hAnsi="Calibri" w:cs="Calibri"/>
          <w:noProof w:val="0"/>
          <w:sz w:val="20"/>
          <w:szCs w:val="20"/>
          <w:lang w:eastAsia="sl-SI"/>
        </w:rPr>
      </w:pPr>
    </w:p>
    <w:p w:rsidR="00427DE9" w:rsidRPr="0030789E" w:rsidRDefault="00427DE9" w:rsidP="00AB6C86">
      <w:pPr>
        <w:spacing w:line="240" w:lineRule="auto"/>
        <w:rPr>
          <w:rFonts w:ascii="Calibri" w:eastAsia="Times New Roman" w:hAnsi="Calibri" w:cs="Calibri"/>
          <w:noProof w:val="0"/>
          <w:sz w:val="20"/>
          <w:szCs w:val="20"/>
          <w:lang w:eastAsia="sl-SI"/>
        </w:rPr>
      </w:pPr>
    </w:p>
    <w:p w:rsidR="00427DE9" w:rsidRPr="0030789E" w:rsidRDefault="00427DE9" w:rsidP="00AB6C86">
      <w:pPr>
        <w:spacing w:line="240" w:lineRule="auto"/>
        <w:rPr>
          <w:rFonts w:ascii="Calibri" w:eastAsia="Times New Roman" w:hAnsi="Calibri" w:cs="Calibri"/>
          <w:noProof w:val="0"/>
          <w:sz w:val="20"/>
          <w:szCs w:val="20"/>
          <w:lang w:eastAsia="sl-SI"/>
        </w:rPr>
      </w:pPr>
    </w:p>
    <w:p w:rsidR="00427DE9" w:rsidRPr="0030789E" w:rsidRDefault="00427DE9" w:rsidP="00AB6C86">
      <w:pPr>
        <w:spacing w:line="240" w:lineRule="auto"/>
        <w:rPr>
          <w:rFonts w:ascii="Calibri" w:eastAsia="Times New Roman" w:hAnsi="Calibri" w:cs="Calibri"/>
          <w:noProof w:val="0"/>
          <w:sz w:val="20"/>
          <w:szCs w:val="20"/>
          <w:lang w:eastAsia="sl-SI"/>
        </w:rPr>
      </w:pPr>
    </w:p>
    <w:p w:rsidR="00427DE9" w:rsidRPr="0030789E" w:rsidRDefault="00427DE9" w:rsidP="00AB6C86">
      <w:pPr>
        <w:spacing w:line="240" w:lineRule="auto"/>
        <w:rPr>
          <w:rFonts w:ascii="Calibri" w:eastAsia="Times New Roman" w:hAnsi="Calibri" w:cs="Calibri"/>
          <w:noProof w:val="0"/>
          <w:sz w:val="20"/>
          <w:szCs w:val="20"/>
          <w:lang w:eastAsia="sl-SI"/>
        </w:rPr>
      </w:pPr>
    </w:p>
    <w:p w:rsidR="00427DE9" w:rsidRPr="0030789E" w:rsidRDefault="00427DE9" w:rsidP="00AB6C86">
      <w:pPr>
        <w:spacing w:line="240" w:lineRule="auto"/>
        <w:rPr>
          <w:rFonts w:ascii="Calibri" w:eastAsia="Times New Roman" w:hAnsi="Calibri" w:cs="Calibri"/>
          <w:noProof w:val="0"/>
          <w:sz w:val="20"/>
          <w:szCs w:val="20"/>
          <w:lang w:eastAsia="sl-SI"/>
        </w:rPr>
      </w:pPr>
    </w:p>
    <w:p w:rsidR="00EA4C9F" w:rsidRDefault="00EA4C9F" w:rsidP="00AB6C86">
      <w:pPr>
        <w:spacing w:line="240" w:lineRule="auto"/>
        <w:rPr>
          <w:rFonts w:ascii="Calibri" w:eastAsia="Times New Roman" w:hAnsi="Calibri" w:cs="Calibri"/>
          <w:noProof w:val="0"/>
          <w:sz w:val="20"/>
          <w:szCs w:val="20"/>
          <w:lang w:eastAsia="sl-SI"/>
        </w:rPr>
      </w:pPr>
    </w:p>
    <w:p w:rsidR="008B15C9" w:rsidRPr="0030789E" w:rsidRDefault="008A5D67" w:rsidP="00AB6C86">
      <w:pPr>
        <w:spacing w:line="240" w:lineRule="auto"/>
        <w:rPr>
          <w:rFonts w:ascii="Calibri" w:eastAsia="Times New Roman" w:hAnsi="Calibri" w:cs="Calibri"/>
          <w:noProof w:val="0"/>
          <w:sz w:val="20"/>
          <w:szCs w:val="20"/>
          <w:lang w:eastAsia="sl-SI"/>
        </w:rPr>
      </w:pPr>
      <w:r w:rsidRPr="0030789E">
        <w:rPr>
          <w:rFonts w:ascii="Calibri" w:eastAsia="Times New Roman" w:hAnsi="Calibri" w:cs="Calibri"/>
          <w:noProof w:val="0"/>
          <w:sz w:val="20"/>
          <w:szCs w:val="20"/>
          <w:lang w:eastAsia="sl-SI"/>
        </w:rPr>
        <w:t>Da se negativni trend nadaljuje</w:t>
      </w:r>
      <w:r w:rsidR="0030789E" w:rsidRPr="0030789E">
        <w:rPr>
          <w:rFonts w:ascii="Calibri" w:eastAsia="Times New Roman" w:hAnsi="Calibri" w:cs="Calibri"/>
          <w:noProof w:val="0"/>
          <w:sz w:val="20"/>
          <w:szCs w:val="20"/>
          <w:lang w:eastAsia="sl-SI"/>
        </w:rPr>
        <w:t xml:space="preserve"> oziroma celo</w:t>
      </w:r>
      <w:r w:rsidR="008B15C9" w:rsidRPr="0030789E">
        <w:rPr>
          <w:rFonts w:ascii="Calibri" w:eastAsia="Times New Roman" w:hAnsi="Calibri" w:cs="Calibri"/>
          <w:noProof w:val="0"/>
          <w:sz w:val="20"/>
          <w:szCs w:val="20"/>
          <w:lang w:eastAsia="sl-SI"/>
        </w:rPr>
        <w:t xml:space="preserve"> slabša, je razvidno iz spodnje tabele.</w:t>
      </w:r>
      <w:r w:rsidRPr="0030789E">
        <w:rPr>
          <w:rFonts w:ascii="Calibri" w:eastAsia="Times New Roman" w:hAnsi="Calibri" w:cs="Calibri"/>
          <w:noProof w:val="0"/>
          <w:sz w:val="20"/>
          <w:szCs w:val="20"/>
          <w:lang w:eastAsia="sl-SI"/>
        </w:rPr>
        <w:t xml:space="preserve"> </w:t>
      </w:r>
      <w:r w:rsidR="008B15C9" w:rsidRPr="0030789E">
        <w:rPr>
          <w:rFonts w:ascii="Calibri" w:eastAsia="Times New Roman" w:hAnsi="Calibri" w:cs="Calibri"/>
          <w:noProof w:val="0"/>
          <w:sz w:val="20"/>
          <w:szCs w:val="20"/>
          <w:lang w:eastAsia="sl-SI"/>
        </w:rPr>
        <w:t>Za financiranje športnih, invalidskih in humanitarnih organizacij je</w:t>
      </w:r>
      <w:r w:rsidRPr="0030789E">
        <w:rPr>
          <w:rFonts w:ascii="Calibri" w:eastAsia="Times New Roman" w:hAnsi="Calibri" w:cs="Calibri"/>
          <w:noProof w:val="0"/>
          <w:sz w:val="20"/>
          <w:szCs w:val="20"/>
          <w:lang w:eastAsia="sl-SI"/>
        </w:rPr>
        <w:t xml:space="preserve"> </w:t>
      </w:r>
      <w:r w:rsidR="008B15C9" w:rsidRPr="0030789E">
        <w:rPr>
          <w:rFonts w:ascii="Calibri" w:eastAsia="Times New Roman" w:hAnsi="Calibri" w:cs="Calibri"/>
          <w:noProof w:val="0"/>
          <w:sz w:val="20"/>
          <w:szCs w:val="20"/>
          <w:lang w:eastAsia="sl-SI"/>
        </w:rPr>
        <w:t xml:space="preserve">bilo </w:t>
      </w:r>
      <w:r w:rsidR="000E1775" w:rsidRPr="0030789E">
        <w:rPr>
          <w:rFonts w:ascii="Calibri" w:eastAsia="Times New Roman" w:hAnsi="Calibri" w:cs="Calibri"/>
          <w:noProof w:val="0"/>
          <w:sz w:val="20"/>
          <w:szCs w:val="20"/>
          <w:lang w:eastAsia="sl-SI"/>
        </w:rPr>
        <w:t xml:space="preserve">v prikazanem obdobju </w:t>
      </w:r>
      <w:r w:rsidR="008B15C9" w:rsidRPr="0030789E">
        <w:rPr>
          <w:rFonts w:ascii="Calibri" w:eastAsia="Times New Roman" w:hAnsi="Calibri" w:cs="Calibri"/>
          <w:noProof w:val="0"/>
          <w:sz w:val="20"/>
          <w:szCs w:val="20"/>
          <w:lang w:eastAsia="sl-SI"/>
        </w:rPr>
        <w:t xml:space="preserve">namenjenih zgolj  60,6 % </w:t>
      </w:r>
      <w:r w:rsidR="000E1775" w:rsidRPr="0030789E">
        <w:rPr>
          <w:rFonts w:ascii="Calibri" w:eastAsia="Times New Roman" w:hAnsi="Calibri" w:cs="Calibri"/>
          <w:noProof w:val="0"/>
          <w:sz w:val="20"/>
          <w:szCs w:val="20"/>
          <w:lang w:eastAsia="sl-SI"/>
        </w:rPr>
        <w:t xml:space="preserve">vrednosti </w:t>
      </w:r>
      <w:r w:rsidR="008B15C9" w:rsidRPr="0030789E">
        <w:rPr>
          <w:rFonts w:ascii="Calibri" w:eastAsia="Times New Roman" w:hAnsi="Calibri" w:cs="Calibri"/>
          <w:noProof w:val="0"/>
          <w:sz w:val="20"/>
          <w:szCs w:val="20"/>
          <w:lang w:eastAsia="sl-SI"/>
        </w:rPr>
        <w:t xml:space="preserve">lanske koncesijske </w:t>
      </w:r>
      <w:r w:rsidR="000E1775" w:rsidRPr="0030789E">
        <w:rPr>
          <w:rFonts w:ascii="Calibri" w:eastAsia="Times New Roman" w:hAnsi="Calibri" w:cs="Calibri"/>
          <w:noProof w:val="0"/>
          <w:sz w:val="20"/>
          <w:szCs w:val="20"/>
          <w:lang w:eastAsia="sl-SI"/>
        </w:rPr>
        <w:t>dajatve</w:t>
      </w:r>
      <w:r w:rsidR="008B15C9" w:rsidRPr="0030789E">
        <w:rPr>
          <w:rFonts w:ascii="Calibri" w:eastAsia="Times New Roman" w:hAnsi="Calibri" w:cs="Calibri"/>
          <w:noProof w:val="0"/>
          <w:sz w:val="20"/>
          <w:szCs w:val="20"/>
          <w:lang w:eastAsia="sl-SI"/>
        </w:rPr>
        <w:t xml:space="preserve">. </w:t>
      </w:r>
    </w:p>
    <w:p w:rsidR="008B15C9" w:rsidRDefault="008B15C9" w:rsidP="00AB6C86">
      <w:pPr>
        <w:spacing w:line="240" w:lineRule="auto"/>
        <w:rPr>
          <w:rFonts w:ascii="Calibri" w:eastAsia="Times New Roman" w:hAnsi="Calibri" w:cs="Calibri"/>
          <w:noProof w:val="0"/>
          <w:sz w:val="20"/>
          <w:szCs w:val="20"/>
          <w:lang w:eastAsia="sl-SI"/>
        </w:rPr>
      </w:pPr>
    </w:p>
    <w:p w:rsidR="0030789E" w:rsidRPr="0030789E" w:rsidRDefault="0030789E" w:rsidP="00AB6C86">
      <w:pPr>
        <w:spacing w:line="240" w:lineRule="auto"/>
        <w:rPr>
          <w:rFonts w:ascii="Calibri" w:eastAsia="Times New Roman" w:hAnsi="Calibri" w:cs="Calibri"/>
          <w:noProof w:val="0"/>
          <w:sz w:val="20"/>
          <w:szCs w:val="20"/>
          <w:lang w:eastAsia="sl-SI"/>
        </w:rPr>
      </w:pPr>
    </w:p>
    <w:tbl>
      <w:tblPr>
        <w:tblpPr w:leftFromText="141" w:rightFromText="141" w:vertAnchor="text" w:horzAnchor="margin" w:tblpY="45"/>
        <w:tblW w:w="8905" w:type="dxa"/>
        <w:tblCellMar>
          <w:left w:w="70" w:type="dxa"/>
          <w:right w:w="70" w:type="dxa"/>
        </w:tblCellMar>
        <w:tblLook w:val="04A0" w:firstRow="1" w:lastRow="0" w:firstColumn="1" w:lastColumn="0" w:noHBand="0" w:noVBand="1"/>
      </w:tblPr>
      <w:tblGrid>
        <w:gridCol w:w="2100"/>
        <w:gridCol w:w="1361"/>
        <w:gridCol w:w="1361"/>
        <w:gridCol w:w="1361"/>
        <w:gridCol w:w="1361"/>
        <w:gridCol w:w="1361"/>
      </w:tblGrid>
      <w:tr w:rsidR="008A5D67" w:rsidRPr="0030789E" w:rsidTr="005168E8">
        <w:trPr>
          <w:trHeight w:val="283"/>
        </w:trPr>
        <w:tc>
          <w:tcPr>
            <w:tcW w:w="2100" w:type="dxa"/>
            <w:tcBorders>
              <w:top w:val="nil"/>
              <w:left w:val="nil"/>
              <w:bottom w:val="dotted" w:sz="4" w:space="0" w:color="auto"/>
              <w:right w:val="nil"/>
            </w:tcBorders>
            <w:shd w:val="clear" w:color="auto" w:fill="DDD9C3" w:themeFill="background2" w:themeFillShade="E6"/>
            <w:vAlign w:val="center"/>
            <w:hideMark/>
          </w:tcPr>
          <w:p w:rsidR="008A5D67" w:rsidRPr="007F3D67" w:rsidRDefault="008A5D67" w:rsidP="005168E8">
            <w:pPr>
              <w:spacing w:line="240" w:lineRule="auto"/>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 xml:space="preserve">Koncesijska dajatev </w:t>
            </w:r>
            <w:r w:rsidR="007F3D67">
              <w:rPr>
                <w:rFonts w:ascii="Calibri" w:eastAsia="Times New Roman" w:hAnsi="Calibri" w:cs="Calibri"/>
                <w:bCs/>
                <w:noProof w:val="0"/>
                <w:sz w:val="18"/>
                <w:szCs w:val="20"/>
                <w:lang w:eastAsia="sl-SI"/>
              </w:rPr>
              <w:t>(€)</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2010</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2011</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2012</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2013</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2014</w:t>
            </w:r>
          </w:p>
        </w:tc>
      </w:tr>
      <w:tr w:rsidR="008A5D67" w:rsidRPr="0030789E" w:rsidTr="005168E8">
        <w:trPr>
          <w:trHeight w:val="283"/>
        </w:trPr>
        <w:tc>
          <w:tcPr>
            <w:tcW w:w="2100" w:type="dxa"/>
            <w:tcBorders>
              <w:top w:val="nil"/>
              <w:left w:val="nil"/>
              <w:bottom w:val="dotted" w:sz="4" w:space="0" w:color="auto"/>
              <w:right w:val="nil"/>
            </w:tcBorders>
            <w:shd w:val="clear" w:color="auto" w:fill="auto"/>
            <w:noWrap/>
            <w:vAlign w:val="center"/>
            <w:hideMark/>
          </w:tcPr>
          <w:p w:rsidR="008A5D67" w:rsidRPr="007F3D67" w:rsidRDefault="008A5D67" w:rsidP="005168E8">
            <w:pPr>
              <w:spacing w:line="240" w:lineRule="auto"/>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JANUAR</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503.436</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456.801</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482.139</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624.180</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color w:val="FF0000"/>
                <w:sz w:val="18"/>
                <w:szCs w:val="20"/>
                <w:lang w:eastAsia="sl-SI"/>
              </w:rPr>
            </w:pPr>
            <w:r w:rsidRPr="007F3D67">
              <w:rPr>
                <w:rFonts w:ascii="Calibri" w:eastAsia="Times New Roman" w:hAnsi="Calibri" w:cs="Calibri"/>
                <w:bCs/>
                <w:noProof w:val="0"/>
                <w:color w:val="FF0000"/>
                <w:sz w:val="18"/>
                <w:szCs w:val="20"/>
                <w:lang w:eastAsia="sl-SI"/>
              </w:rPr>
              <w:t>372.121</w:t>
            </w:r>
          </w:p>
        </w:tc>
      </w:tr>
      <w:tr w:rsidR="008A5D67" w:rsidRPr="0030789E" w:rsidTr="005168E8">
        <w:trPr>
          <w:trHeight w:val="283"/>
        </w:trPr>
        <w:tc>
          <w:tcPr>
            <w:tcW w:w="2100" w:type="dxa"/>
            <w:tcBorders>
              <w:top w:val="nil"/>
              <w:left w:val="nil"/>
              <w:bottom w:val="dotted" w:sz="4" w:space="0" w:color="auto"/>
              <w:right w:val="nil"/>
            </w:tcBorders>
            <w:shd w:val="clear" w:color="auto" w:fill="auto"/>
            <w:noWrap/>
            <w:vAlign w:val="center"/>
            <w:hideMark/>
          </w:tcPr>
          <w:p w:rsidR="008A5D67" w:rsidRPr="007F3D67" w:rsidRDefault="008A5D67" w:rsidP="005168E8">
            <w:pPr>
              <w:spacing w:line="240" w:lineRule="auto"/>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FEBRUAR</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371.675</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614.675</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608.245</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500.897</w:t>
            </w:r>
          </w:p>
        </w:tc>
        <w:tc>
          <w:tcPr>
            <w:tcW w:w="1361" w:type="dxa"/>
            <w:tcBorders>
              <w:top w:val="nil"/>
              <w:left w:val="nil"/>
              <w:bottom w:val="dotted" w:sz="4" w:space="0" w:color="auto"/>
              <w:right w:val="nil"/>
            </w:tcBorders>
            <w:vAlign w:val="center"/>
          </w:tcPr>
          <w:p w:rsidR="008A5D67" w:rsidRPr="007F3D67" w:rsidRDefault="008A5D67" w:rsidP="005168E8">
            <w:pPr>
              <w:jc w:val="center"/>
              <w:rPr>
                <w:rFonts w:ascii="Calibri" w:eastAsia="Times New Roman" w:hAnsi="Calibri" w:cs="Calibri"/>
                <w:bCs/>
                <w:noProof w:val="0"/>
                <w:color w:val="FF0000"/>
                <w:sz w:val="18"/>
                <w:szCs w:val="20"/>
                <w:lang w:eastAsia="sl-SI"/>
              </w:rPr>
            </w:pPr>
            <w:r w:rsidRPr="007F3D67">
              <w:rPr>
                <w:rFonts w:ascii="Calibri" w:eastAsia="Times New Roman" w:hAnsi="Calibri" w:cs="Calibri"/>
                <w:bCs/>
                <w:noProof w:val="0"/>
                <w:color w:val="FF0000"/>
                <w:sz w:val="18"/>
                <w:szCs w:val="20"/>
                <w:lang w:eastAsia="sl-SI"/>
              </w:rPr>
              <w:t>310.729</w:t>
            </w:r>
          </w:p>
        </w:tc>
      </w:tr>
      <w:tr w:rsidR="008A5D67" w:rsidRPr="0030789E" w:rsidTr="005168E8">
        <w:trPr>
          <w:trHeight w:val="283"/>
        </w:trPr>
        <w:tc>
          <w:tcPr>
            <w:tcW w:w="2100" w:type="dxa"/>
            <w:tcBorders>
              <w:top w:val="nil"/>
              <w:left w:val="nil"/>
              <w:bottom w:val="dotted" w:sz="4" w:space="0" w:color="auto"/>
              <w:right w:val="nil"/>
            </w:tcBorders>
            <w:shd w:val="clear" w:color="auto" w:fill="DDD9C3" w:themeFill="background2" w:themeFillShade="E6"/>
            <w:noWrap/>
            <w:vAlign w:val="center"/>
            <w:hideMark/>
          </w:tcPr>
          <w:p w:rsidR="008A5D67" w:rsidRPr="007F3D67" w:rsidRDefault="008A5D67" w:rsidP="005168E8">
            <w:pPr>
              <w:spacing w:line="240" w:lineRule="auto"/>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SKUPAJ</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875.111</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1.071.476</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1.090.384</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Cs/>
                <w:noProof w:val="0"/>
                <w:sz w:val="18"/>
                <w:szCs w:val="20"/>
                <w:lang w:eastAsia="sl-SI"/>
              </w:rPr>
            </w:pPr>
            <w:r w:rsidRPr="007F3D67">
              <w:rPr>
                <w:rFonts w:ascii="Calibri" w:eastAsia="Times New Roman" w:hAnsi="Calibri" w:cs="Calibri"/>
                <w:bCs/>
                <w:noProof w:val="0"/>
                <w:sz w:val="18"/>
                <w:szCs w:val="20"/>
                <w:lang w:eastAsia="sl-SI"/>
              </w:rPr>
              <w:t>1.125.077</w:t>
            </w:r>
          </w:p>
        </w:tc>
        <w:tc>
          <w:tcPr>
            <w:tcW w:w="1361" w:type="dxa"/>
            <w:tcBorders>
              <w:top w:val="nil"/>
              <w:left w:val="nil"/>
              <w:bottom w:val="dotted" w:sz="4" w:space="0" w:color="auto"/>
              <w:right w:val="nil"/>
            </w:tcBorders>
            <w:shd w:val="clear" w:color="auto" w:fill="DDD9C3" w:themeFill="background2" w:themeFillShade="E6"/>
            <w:vAlign w:val="center"/>
          </w:tcPr>
          <w:p w:rsidR="008A5D67" w:rsidRPr="007F3D67" w:rsidRDefault="008A5D67" w:rsidP="005168E8">
            <w:pPr>
              <w:spacing w:line="240" w:lineRule="auto"/>
              <w:jc w:val="center"/>
              <w:rPr>
                <w:rFonts w:ascii="Calibri" w:eastAsia="Times New Roman" w:hAnsi="Calibri" w:cs="Calibri"/>
                <w:b/>
                <w:bCs/>
                <w:noProof w:val="0"/>
                <w:color w:val="FF0000"/>
                <w:sz w:val="18"/>
                <w:szCs w:val="20"/>
                <w:lang w:eastAsia="sl-SI"/>
              </w:rPr>
            </w:pPr>
            <w:r w:rsidRPr="007F3D67">
              <w:rPr>
                <w:rFonts w:ascii="Calibri" w:eastAsia="Times New Roman" w:hAnsi="Calibri" w:cs="Calibri"/>
                <w:b/>
                <w:bCs/>
                <w:noProof w:val="0"/>
                <w:color w:val="FF0000"/>
                <w:sz w:val="18"/>
                <w:szCs w:val="20"/>
                <w:lang w:eastAsia="sl-SI"/>
              </w:rPr>
              <w:t>682.850</w:t>
            </w:r>
          </w:p>
        </w:tc>
      </w:tr>
    </w:tbl>
    <w:p w:rsidR="008A5D67" w:rsidRPr="0030789E" w:rsidRDefault="008A5D67" w:rsidP="00AB6C86">
      <w:pPr>
        <w:spacing w:line="240" w:lineRule="auto"/>
        <w:rPr>
          <w:rFonts w:ascii="Calibri" w:eastAsia="Times New Roman" w:hAnsi="Calibri" w:cs="Calibri"/>
          <w:noProof w:val="0"/>
          <w:sz w:val="20"/>
          <w:szCs w:val="20"/>
          <w:lang w:eastAsia="sl-SI"/>
        </w:rPr>
      </w:pPr>
    </w:p>
    <w:p w:rsidR="0030789E" w:rsidRPr="0030789E" w:rsidRDefault="0030789E" w:rsidP="00AB6C86">
      <w:pPr>
        <w:spacing w:line="240" w:lineRule="auto"/>
        <w:rPr>
          <w:rFonts w:ascii="Calibri" w:eastAsia="Times New Roman" w:hAnsi="Calibri" w:cs="Calibri"/>
          <w:noProof w:val="0"/>
          <w:sz w:val="20"/>
          <w:szCs w:val="20"/>
          <w:lang w:eastAsia="sl-SI"/>
        </w:rPr>
      </w:pPr>
    </w:p>
    <w:p w:rsidR="0030789E" w:rsidRPr="0030789E" w:rsidRDefault="000E1775" w:rsidP="0030789E">
      <w:pPr>
        <w:spacing w:line="240" w:lineRule="auto"/>
        <w:rPr>
          <w:rFonts w:ascii="Calibri" w:eastAsia="Times New Roman" w:hAnsi="Calibri" w:cs="Calibri"/>
          <w:b/>
          <w:bCs/>
          <w:noProof w:val="0"/>
          <w:sz w:val="20"/>
          <w:szCs w:val="20"/>
          <w:lang w:eastAsia="sl-SI"/>
        </w:rPr>
      </w:pPr>
      <w:r w:rsidRPr="0030789E">
        <w:rPr>
          <w:rFonts w:ascii="Calibri" w:eastAsia="Times New Roman" w:hAnsi="Calibri" w:cs="Calibri"/>
          <w:noProof w:val="0"/>
          <w:sz w:val="20"/>
          <w:szCs w:val="20"/>
          <w:lang w:eastAsia="sl-SI"/>
        </w:rPr>
        <w:t xml:space="preserve">Čeprav višina prodaje in koncesijska dajatev nista </w:t>
      </w:r>
      <w:r w:rsidR="0030789E" w:rsidRPr="0030789E">
        <w:rPr>
          <w:rFonts w:ascii="Calibri" w:eastAsia="Times New Roman" w:hAnsi="Calibri" w:cs="Calibri"/>
          <w:noProof w:val="0"/>
          <w:sz w:val="20"/>
          <w:szCs w:val="20"/>
          <w:lang w:eastAsia="sl-SI"/>
        </w:rPr>
        <w:t xml:space="preserve">v strogi korelaciji, je po uvedbi navedenega davka začela znatneje upadati prodaja vseh iger na srečo, ki jih ima Športna loterija v svoji ponudbi, zlasti pa prodaja športnih stav, saj se ravno pri tej igri manifestira nepremišljenost nekaterih določb navedenega zakona, pri čemer prihaja do situacij, ko bi igralci kljub popolnoma pravilni napovedi prejeli manj kot so vplačali. Ker v Sloveniji ponujajo športne stave številni ponudniki iz tujine, se slovenski igralci </w:t>
      </w:r>
      <w:r w:rsidR="00445249" w:rsidRPr="0030789E">
        <w:rPr>
          <w:rFonts w:ascii="Calibri" w:eastAsia="Times New Roman" w:hAnsi="Calibri" w:cs="Calibri"/>
          <w:noProof w:val="0"/>
          <w:sz w:val="20"/>
          <w:szCs w:val="20"/>
          <w:lang w:eastAsia="sl-SI"/>
        </w:rPr>
        <w:t xml:space="preserve">zaradi višjih skladov za dobitke </w:t>
      </w:r>
      <w:r w:rsidR="0030789E" w:rsidRPr="0030789E">
        <w:rPr>
          <w:rFonts w:ascii="Calibri" w:eastAsia="Times New Roman" w:hAnsi="Calibri" w:cs="Calibri"/>
          <w:noProof w:val="0"/>
          <w:sz w:val="20"/>
          <w:szCs w:val="20"/>
          <w:lang w:eastAsia="sl-SI"/>
        </w:rPr>
        <w:t xml:space="preserve">odločajo igrati pri njih, saj ti ponudniki oblikujejo navedene sklade ravno iz naslova bistveno manjših dajatev, ki pa jih ne plačujejo Republiki Sloveniji. </w:t>
      </w:r>
    </w:p>
    <w:p w:rsidR="008A5D67" w:rsidRPr="0030789E" w:rsidRDefault="008A5D67" w:rsidP="00AB6C86">
      <w:pPr>
        <w:spacing w:line="240" w:lineRule="auto"/>
        <w:rPr>
          <w:rFonts w:ascii="Calibri" w:eastAsia="Times New Roman" w:hAnsi="Calibri" w:cs="Calibri"/>
          <w:noProof w:val="0"/>
          <w:sz w:val="20"/>
          <w:szCs w:val="20"/>
          <w:lang w:eastAsia="sl-SI"/>
        </w:rPr>
      </w:pPr>
    </w:p>
    <w:p w:rsidR="00AB6C86" w:rsidRPr="0030789E" w:rsidRDefault="00AB6C86" w:rsidP="00AB6C86">
      <w:pPr>
        <w:spacing w:line="240" w:lineRule="auto"/>
        <w:rPr>
          <w:rFonts w:ascii="Calibri" w:eastAsia="Times New Roman" w:hAnsi="Calibri" w:cs="Calibri"/>
          <w:noProof w:val="0"/>
          <w:sz w:val="20"/>
          <w:szCs w:val="20"/>
          <w:lang w:eastAsia="sl-SI"/>
        </w:rPr>
      </w:pPr>
    </w:p>
    <w:tbl>
      <w:tblPr>
        <w:tblpPr w:leftFromText="141" w:rightFromText="141" w:vertAnchor="text" w:horzAnchor="margin" w:tblpXSpec="center" w:tblpY="-7"/>
        <w:tblW w:w="8593" w:type="dxa"/>
        <w:tblCellMar>
          <w:left w:w="70" w:type="dxa"/>
          <w:right w:w="70" w:type="dxa"/>
        </w:tblCellMar>
        <w:tblLook w:val="04A0" w:firstRow="1" w:lastRow="0" w:firstColumn="1" w:lastColumn="0" w:noHBand="0" w:noVBand="1"/>
      </w:tblPr>
      <w:tblGrid>
        <w:gridCol w:w="1482"/>
        <w:gridCol w:w="973"/>
        <w:gridCol w:w="973"/>
        <w:gridCol w:w="973"/>
        <w:gridCol w:w="1074"/>
        <w:gridCol w:w="1451"/>
        <w:gridCol w:w="1667"/>
      </w:tblGrid>
      <w:tr w:rsidR="00DC1496" w:rsidRPr="0030789E" w:rsidTr="008F3336">
        <w:trPr>
          <w:trHeight w:val="319"/>
        </w:trPr>
        <w:tc>
          <w:tcPr>
            <w:tcW w:w="1482" w:type="dxa"/>
            <w:vMerge w:val="restart"/>
            <w:shd w:val="clear" w:color="auto" w:fill="DDD9C3" w:themeFill="background2" w:themeFillShade="E6"/>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 </w:t>
            </w:r>
          </w:p>
        </w:tc>
        <w:tc>
          <w:tcPr>
            <w:tcW w:w="973" w:type="dxa"/>
            <w:vMerge w:val="restart"/>
            <w:shd w:val="clear" w:color="auto" w:fill="DDD9C3" w:themeFill="background2" w:themeFillShade="E6"/>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sept.</w:t>
            </w:r>
          </w:p>
        </w:tc>
        <w:tc>
          <w:tcPr>
            <w:tcW w:w="973" w:type="dxa"/>
            <w:vMerge w:val="restart"/>
            <w:shd w:val="clear" w:color="auto" w:fill="DDD9C3" w:themeFill="background2" w:themeFillShade="E6"/>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okt.</w:t>
            </w:r>
          </w:p>
        </w:tc>
        <w:tc>
          <w:tcPr>
            <w:tcW w:w="973" w:type="dxa"/>
            <w:vMerge w:val="restart"/>
            <w:shd w:val="clear" w:color="auto" w:fill="DDD9C3" w:themeFill="background2" w:themeFillShade="E6"/>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nov.</w:t>
            </w:r>
          </w:p>
        </w:tc>
        <w:tc>
          <w:tcPr>
            <w:tcW w:w="1074" w:type="dxa"/>
            <w:vMerge w:val="restart"/>
            <w:shd w:val="clear" w:color="auto" w:fill="DDD9C3" w:themeFill="background2" w:themeFillShade="E6"/>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dec.</w:t>
            </w:r>
          </w:p>
        </w:tc>
        <w:tc>
          <w:tcPr>
            <w:tcW w:w="1451" w:type="dxa"/>
            <w:shd w:val="clear" w:color="auto" w:fill="DDD9C3" w:themeFill="background2" w:themeFillShade="E6"/>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SKUPAJ</w:t>
            </w:r>
          </w:p>
        </w:tc>
        <w:tc>
          <w:tcPr>
            <w:tcW w:w="1667" w:type="dxa"/>
            <w:vMerge w:val="restart"/>
            <w:shd w:val="clear" w:color="auto" w:fill="DDD9C3" w:themeFill="background2" w:themeFillShade="E6"/>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indeks</w:t>
            </w:r>
          </w:p>
        </w:tc>
      </w:tr>
      <w:tr w:rsidR="00DC1496" w:rsidRPr="00EE383F" w:rsidTr="008F3336">
        <w:trPr>
          <w:trHeight w:val="319"/>
        </w:trPr>
        <w:tc>
          <w:tcPr>
            <w:tcW w:w="1482" w:type="dxa"/>
            <w:vMerge/>
            <w:shd w:val="clear" w:color="auto" w:fill="auto"/>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p>
        </w:tc>
        <w:tc>
          <w:tcPr>
            <w:tcW w:w="973" w:type="dxa"/>
            <w:vMerge/>
            <w:shd w:val="clear" w:color="auto" w:fill="auto"/>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p>
        </w:tc>
        <w:tc>
          <w:tcPr>
            <w:tcW w:w="973" w:type="dxa"/>
            <w:vMerge/>
            <w:shd w:val="clear" w:color="auto" w:fill="auto"/>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p>
        </w:tc>
        <w:tc>
          <w:tcPr>
            <w:tcW w:w="973" w:type="dxa"/>
            <w:vMerge/>
            <w:shd w:val="clear" w:color="auto" w:fill="auto"/>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p>
        </w:tc>
        <w:tc>
          <w:tcPr>
            <w:tcW w:w="1074" w:type="dxa"/>
            <w:vMerge/>
            <w:shd w:val="clear" w:color="auto" w:fill="auto"/>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p>
        </w:tc>
        <w:tc>
          <w:tcPr>
            <w:tcW w:w="1451"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sept – dec</w:t>
            </w:r>
          </w:p>
        </w:tc>
        <w:tc>
          <w:tcPr>
            <w:tcW w:w="1667" w:type="dxa"/>
            <w:vMerge/>
            <w:shd w:val="clear" w:color="auto" w:fill="auto"/>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p>
        </w:tc>
      </w:tr>
      <w:tr w:rsidR="00DC1496" w:rsidRPr="00EE383F" w:rsidTr="008F3336">
        <w:trPr>
          <w:trHeight w:val="319"/>
        </w:trPr>
        <w:tc>
          <w:tcPr>
            <w:tcW w:w="1482"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2010</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5.396.549</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6.659.403</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6.774.335</w:t>
            </w:r>
          </w:p>
        </w:tc>
        <w:tc>
          <w:tcPr>
            <w:tcW w:w="1074"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6.802.278</w:t>
            </w:r>
          </w:p>
        </w:tc>
        <w:tc>
          <w:tcPr>
            <w:tcW w:w="1451"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25.632.565</w:t>
            </w:r>
          </w:p>
        </w:tc>
        <w:tc>
          <w:tcPr>
            <w:tcW w:w="1667"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100</w:t>
            </w:r>
          </w:p>
        </w:tc>
      </w:tr>
      <w:tr w:rsidR="00DC1496" w:rsidRPr="00EE383F" w:rsidTr="008F3336">
        <w:trPr>
          <w:trHeight w:val="319"/>
        </w:trPr>
        <w:tc>
          <w:tcPr>
            <w:tcW w:w="1482"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2011</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6.563.830</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6.751.858</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6.649.636</w:t>
            </w:r>
          </w:p>
        </w:tc>
        <w:tc>
          <w:tcPr>
            <w:tcW w:w="1074"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7.475.610</w:t>
            </w:r>
          </w:p>
        </w:tc>
        <w:tc>
          <w:tcPr>
            <w:tcW w:w="1451"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27.440.934</w:t>
            </w:r>
          </w:p>
        </w:tc>
        <w:tc>
          <w:tcPr>
            <w:tcW w:w="1667"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107</w:t>
            </w:r>
          </w:p>
        </w:tc>
      </w:tr>
      <w:tr w:rsidR="00DC1496" w:rsidRPr="00EE383F" w:rsidTr="008F3336">
        <w:trPr>
          <w:trHeight w:val="319"/>
        </w:trPr>
        <w:tc>
          <w:tcPr>
            <w:tcW w:w="1482"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2012</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7.009.623</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7.894.118</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7.849.750</w:t>
            </w:r>
          </w:p>
        </w:tc>
        <w:tc>
          <w:tcPr>
            <w:tcW w:w="1074"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6.645.916</w:t>
            </w:r>
          </w:p>
        </w:tc>
        <w:tc>
          <w:tcPr>
            <w:tcW w:w="1451"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29.399.407</w:t>
            </w:r>
          </w:p>
        </w:tc>
        <w:tc>
          <w:tcPr>
            <w:tcW w:w="1667"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107</w:t>
            </w:r>
          </w:p>
        </w:tc>
      </w:tr>
      <w:tr w:rsidR="00DC1496" w:rsidRPr="00EE383F" w:rsidTr="008F3336">
        <w:trPr>
          <w:trHeight w:val="319"/>
        </w:trPr>
        <w:tc>
          <w:tcPr>
            <w:tcW w:w="1482" w:type="dxa"/>
            <w:shd w:val="clear" w:color="auto" w:fill="auto"/>
            <w:noWrap/>
            <w:vAlign w:val="center"/>
            <w:hideMark/>
          </w:tcPr>
          <w:p w:rsidR="00DC1496" w:rsidRPr="00EE383F" w:rsidRDefault="00DC1496" w:rsidP="00840AE4">
            <w:pPr>
              <w:jc w:val="center"/>
              <w:rPr>
                <w:rFonts w:ascii="Calibri" w:eastAsia="Times New Roman" w:hAnsi="Calibri" w:cs="Calibri"/>
                <w:bCs/>
                <w:noProof w:val="0"/>
                <w:sz w:val="18"/>
                <w:szCs w:val="20"/>
                <w:lang w:eastAsia="sl-SI"/>
              </w:rPr>
            </w:pPr>
            <w:r w:rsidRPr="00EE383F">
              <w:rPr>
                <w:rFonts w:ascii="Calibri" w:eastAsia="Times New Roman" w:hAnsi="Calibri" w:cs="Calibri"/>
                <w:bCs/>
                <w:noProof w:val="0"/>
                <w:sz w:val="18"/>
                <w:szCs w:val="20"/>
                <w:lang w:eastAsia="sl-SI"/>
              </w:rPr>
              <w:t>2013</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color w:val="FF0000"/>
                <w:sz w:val="18"/>
                <w:szCs w:val="20"/>
                <w:lang w:eastAsia="sl-SI"/>
              </w:rPr>
            </w:pPr>
            <w:r w:rsidRPr="00EE383F">
              <w:rPr>
                <w:rFonts w:ascii="Calibri" w:eastAsia="Times New Roman" w:hAnsi="Calibri" w:cs="Calibri"/>
                <w:bCs/>
                <w:noProof w:val="0"/>
                <w:color w:val="FF0000"/>
                <w:sz w:val="18"/>
                <w:szCs w:val="20"/>
                <w:lang w:eastAsia="sl-SI"/>
              </w:rPr>
              <w:t>6.209.968</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color w:val="FF0000"/>
                <w:sz w:val="18"/>
                <w:szCs w:val="20"/>
                <w:lang w:eastAsia="sl-SI"/>
              </w:rPr>
            </w:pPr>
            <w:r w:rsidRPr="00EE383F">
              <w:rPr>
                <w:rFonts w:ascii="Calibri" w:eastAsia="Times New Roman" w:hAnsi="Calibri" w:cs="Calibri"/>
                <w:bCs/>
                <w:noProof w:val="0"/>
                <w:color w:val="FF0000"/>
                <w:sz w:val="18"/>
                <w:szCs w:val="20"/>
                <w:lang w:eastAsia="sl-SI"/>
              </w:rPr>
              <w:t>6.370.478</w:t>
            </w:r>
          </w:p>
        </w:tc>
        <w:tc>
          <w:tcPr>
            <w:tcW w:w="973" w:type="dxa"/>
            <w:shd w:val="clear" w:color="auto" w:fill="auto"/>
            <w:noWrap/>
            <w:vAlign w:val="center"/>
            <w:hideMark/>
          </w:tcPr>
          <w:p w:rsidR="00DC1496" w:rsidRPr="00EE383F" w:rsidRDefault="00DC1496" w:rsidP="00840AE4">
            <w:pPr>
              <w:jc w:val="center"/>
              <w:rPr>
                <w:rFonts w:ascii="Calibri" w:eastAsia="Times New Roman" w:hAnsi="Calibri" w:cs="Calibri"/>
                <w:bCs/>
                <w:noProof w:val="0"/>
                <w:color w:val="FF0000"/>
                <w:sz w:val="18"/>
                <w:szCs w:val="20"/>
                <w:lang w:eastAsia="sl-SI"/>
              </w:rPr>
            </w:pPr>
            <w:r w:rsidRPr="00EE383F">
              <w:rPr>
                <w:rFonts w:ascii="Calibri" w:eastAsia="Times New Roman" w:hAnsi="Calibri" w:cs="Calibri"/>
                <w:bCs/>
                <w:noProof w:val="0"/>
                <w:color w:val="FF0000"/>
                <w:sz w:val="18"/>
                <w:szCs w:val="20"/>
                <w:lang w:eastAsia="sl-SI"/>
              </w:rPr>
              <w:t>5.664.604</w:t>
            </w:r>
          </w:p>
        </w:tc>
        <w:tc>
          <w:tcPr>
            <w:tcW w:w="1074" w:type="dxa"/>
            <w:shd w:val="clear" w:color="auto" w:fill="auto"/>
            <w:noWrap/>
            <w:vAlign w:val="center"/>
            <w:hideMark/>
          </w:tcPr>
          <w:p w:rsidR="00DC1496" w:rsidRPr="00EE383F" w:rsidRDefault="00DC1496" w:rsidP="00840AE4">
            <w:pPr>
              <w:jc w:val="center"/>
              <w:rPr>
                <w:rFonts w:ascii="Calibri" w:eastAsia="Times New Roman" w:hAnsi="Calibri" w:cs="Calibri"/>
                <w:bCs/>
                <w:noProof w:val="0"/>
                <w:color w:val="FF0000"/>
                <w:sz w:val="18"/>
                <w:szCs w:val="20"/>
                <w:lang w:eastAsia="sl-SI"/>
              </w:rPr>
            </w:pPr>
            <w:r w:rsidRPr="00EE383F">
              <w:rPr>
                <w:rFonts w:ascii="Calibri" w:eastAsia="Times New Roman" w:hAnsi="Calibri" w:cs="Calibri"/>
                <w:bCs/>
                <w:noProof w:val="0"/>
                <w:color w:val="FF0000"/>
                <w:sz w:val="18"/>
                <w:szCs w:val="20"/>
                <w:lang w:eastAsia="sl-SI"/>
              </w:rPr>
              <w:t>5.565.408</w:t>
            </w:r>
          </w:p>
        </w:tc>
        <w:tc>
          <w:tcPr>
            <w:tcW w:w="1451" w:type="dxa"/>
            <w:shd w:val="clear" w:color="auto" w:fill="auto"/>
            <w:noWrap/>
            <w:vAlign w:val="center"/>
            <w:hideMark/>
          </w:tcPr>
          <w:p w:rsidR="00DC1496" w:rsidRPr="00EE383F" w:rsidRDefault="00DC1496" w:rsidP="00840AE4">
            <w:pPr>
              <w:jc w:val="center"/>
              <w:rPr>
                <w:rFonts w:ascii="Calibri" w:eastAsia="Times New Roman" w:hAnsi="Calibri" w:cs="Calibri"/>
                <w:b/>
                <w:bCs/>
                <w:noProof w:val="0"/>
                <w:color w:val="FF0000"/>
                <w:sz w:val="18"/>
                <w:szCs w:val="20"/>
                <w:lang w:eastAsia="sl-SI"/>
              </w:rPr>
            </w:pPr>
            <w:r w:rsidRPr="00EE383F">
              <w:rPr>
                <w:rFonts w:ascii="Calibri" w:eastAsia="Times New Roman" w:hAnsi="Calibri" w:cs="Calibri"/>
                <w:b/>
                <w:bCs/>
                <w:noProof w:val="0"/>
                <w:color w:val="FF0000"/>
                <w:sz w:val="18"/>
                <w:szCs w:val="20"/>
                <w:lang w:eastAsia="sl-SI"/>
              </w:rPr>
              <w:t>23.810.458</w:t>
            </w:r>
          </w:p>
        </w:tc>
        <w:tc>
          <w:tcPr>
            <w:tcW w:w="1667" w:type="dxa"/>
            <w:shd w:val="clear" w:color="auto" w:fill="auto"/>
            <w:noWrap/>
            <w:vAlign w:val="center"/>
            <w:hideMark/>
          </w:tcPr>
          <w:p w:rsidR="00DC1496" w:rsidRPr="00EE383F" w:rsidRDefault="00DC1496" w:rsidP="00840AE4">
            <w:pPr>
              <w:jc w:val="center"/>
              <w:rPr>
                <w:rFonts w:ascii="Calibri" w:eastAsia="Times New Roman" w:hAnsi="Calibri" w:cs="Calibri"/>
                <w:bCs/>
                <w:noProof w:val="0"/>
                <w:color w:val="FF0000"/>
                <w:sz w:val="18"/>
                <w:szCs w:val="20"/>
                <w:lang w:eastAsia="sl-SI"/>
              </w:rPr>
            </w:pPr>
            <w:r w:rsidRPr="00EE383F">
              <w:rPr>
                <w:rFonts w:ascii="Calibri" w:eastAsia="Times New Roman" w:hAnsi="Calibri" w:cs="Calibri"/>
                <w:bCs/>
                <w:noProof w:val="0"/>
                <w:color w:val="FF0000"/>
                <w:sz w:val="18"/>
                <w:szCs w:val="20"/>
                <w:lang w:eastAsia="sl-SI"/>
              </w:rPr>
              <w:t>81</w:t>
            </w:r>
          </w:p>
        </w:tc>
      </w:tr>
    </w:tbl>
    <w:p w:rsidR="00AB6C86" w:rsidRDefault="00AB6C86" w:rsidP="00DC1496">
      <w:pPr>
        <w:spacing w:line="240" w:lineRule="auto"/>
        <w:rPr>
          <w:rFonts w:ascii="Calibri" w:eastAsia="Times New Roman" w:hAnsi="Calibri" w:cs="Calibri"/>
          <w:noProof w:val="0"/>
          <w:sz w:val="20"/>
          <w:szCs w:val="20"/>
          <w:lang w:eastAsia="sl-SI"/>
        </w:rPr>
      </w:pPr>
      <w:r w:rsidRPr="0030789E">
        <w:rPr>
          <w:rFonts w:ascii="Calibri" w:eastAsia="Times New Roman" w:hAnsi="Calibri" w:cs="Calibri"/>
          <w:noProof w:val="0"/>
          <w:sz w:val="20"/>
          <w:szCs w:val="20"/>
          <w:lang w:eastAsia="sl-SI"/>
        </w:rPr>
        <w:lastRenderedPageBreak/>
        <w:t>Da bi bili podatki bolje primerljivi z enakim obdobjem preteklih let, je v tabeli zgoraj prikazana prodaja športnih stav brez vštetega davka od srečk. Razbrati je, da smo zgolj v štirih mesecih enakega obdobja prodali za 5.589.000 EUR manj športnih stav kot leto prej. Zaskrbljujoče je, da poleg gospodarske krize na padec prodaje tako znatno vpliva prav navedeni davek, ki nas postavlja v popolnoma nekonkurenčen položaj s tujimi ponudniki. Davek od srečk je v celoti prihodek proračuna Republike Slovenije.</w:t>
      </w:r>
    </w:p>
    <w:p w:rsidR="007F3D67" w:rsidRPr="0030789E" w:rsidRDefault="007F3D67" w:rsidP="00DC1496">
      <w:pPr>
        <w:spacing w:line="240" w:lineRule="auto"/>
        <w:rPr>
          <w:rFonts w:ascii="Calibri" w:eastAsia="Times New Roman" w:hAnsi="Calibri" w:cs="Calibri"/>
          <w:noProof w:val="0"/>
          <w:sz w:val="20"/>
          <w:szCs w:val="20"/>
          <w:lang w:eastAsia="sl-SI"/>
        </w:rPr>
      </w:pPr>
    </w:p>
    <w:p w:rsidR="00137302" w:rsidRDefault="00137302" w:rsidP="00C1540A">
      <w:pPr>
        <w:spacing w:line="240" w:lineRule="auto"/>
        <w:rPr>
          <w:rFonts w:ascii="Calibri" w:eastAsia="Times New Roman" w:hAnsi="Calibri" w:cs="Calibri"/>
          <w:b/>
          <w:bCs/>
          <w:noProof w:val="0"/>
          <w:sz w:val="20"/>
          <w:szCs w:val="20"/>
          <w:lang w:eastAsia="sl-SI"/>
        </w:rPr>
      </w:pPr>
    </w:p>
    <w:p w:rsidR="00581C4E" w:rsidRPr="00581C4E" w:rsidRDefault="00581C4E" w:rsidP="00581C4E">
      <w:pPr>
        <w:spacing w:line="240" w:lineRule="auto"/>
        <w:rPr>
          <w:rFonts w:ascii="Calibri" w:eastAsia="Times New Roman" w:hAnsi="Calibri" w:cs="Calibri"/>
          <w:b/>
          <w:noProof w:val="0"/>
          <w:sz w:val="20"/>
          <w:lang w:eastAsia="sl-SI"/>
        </w:rPr>
      </w:pPr>
      <w:r w:rsidRPr="00581C4E">
        <w:rPr>
          <w:rFonts w:ascii="Calibri" w:eastAsia="Times New Roman" w:hAnsi="Calibri" w:cs="Calibri"/>
          <w:bCs/>
          <w:noProof w:val="0"/>
          <w:sz w:val="20"/>
          <w:lang w:eastAsia="sl-SI"/>
        </w:rPr>
        <w:t xml:space="preserve">Športna loterija iz naslova prirejanja klasičnih iger na srečo plačuje tri dajatve, in sicer koncesijsko dajatev, davek od srečk in davek od klasičnih iger na srečo. V letu 2013 smo </w:t>
      </w:r>
      <w:r w:rsidR="005F41D5">
        <w:rPr>
          <w:rFonts w:ascii="Calibri" w:eastAsia="Times New Roman" w:hAnsi="Calibri" w:cs="Calibri"/>
          <w:bCs/>
          <w:noProof w:val="0"/>
          <w:sz w:val="20"/>
          <w:lang w:eastAsia="sl-SI"/>
        </w:rPr>
        <w:t xml:space="preserve">tako </w:t>
      </w:r>
      <w:r w:rsidRPr="00581C4E">
        <w:rPr>
          <w:rFonts w:ascii="Calibri" w:eastAsia="Times New Roman" w:hAnsi="Calibri" w:cs="Calibri"/>
          <w:bCs/>
          <w:noProof w:val="0"/>
          <w:sz w:val="20"/>
          <w:lang w:eastAsia="sl-SI"/>
        </w:rPr>
        <w:t xml:space="preserve">plačali za 2.196.726 EUR več dajatev kot leto prej, </w:t>
      </w:r>
      <w:r w:rsidR="005F41D5">
        <w:rPr>
          <w:rFonts w:ascii="Calibri" w:eastAsia="Times New Roman" w:hAnsi="Calibri" w:cs="Calibri"/>
          <w:bCs/>
          <w:noProof w:val="0"/>
          <w:sz w:val="20"/>
          <w:lang w:eastAsia="sl-SI"/>
        </w:rPr>
        <w:t xml:space="preserve">skupaj </w:t>
      </w:r>
      <w:r w:rsidRPr="00581C4E">
        <w:rPr>
          <w:rFonts w:ascii="Calibri" w:eastAsia="Times New Roman" w:hAnsi="Calibri" w:cs="Calibri"/>
          <w:bCs/>
          <w:noProof w:val="0"/>
          <w:sz w:val="20"/>
          <w:lang w:eastAsia="sl-SI"/>
        </w:rPr>
        <w:t>9.176.842 EUR</w:t>
      </w:r>
      <w:r>
        <w:rPr>
          <w:rFonts w:ascii="Calibri" w:eastAsia="Times New Roman" w:hAnsi="Calibri" w:cs="Calibri"/>
          <w:bCs/>
          <w:noProof w:val="0"/>
          <w:sz w:val="20"/>
          <w:lang w:eastAsia="sl-SI"/>
        </w:rPr>
        <w:t xml:space="preserve">, čeprav smo davek od srečk začeli obračunavati s septembrom 2013. </w:t>
      </w:r>
    </w:p>
    <w:p w:rsidR="00581C4E" w:rsidRPr="00581C4E" w:rsidRDefault="00581C4E" w:rsidP="00C1540A">
      <w:pPr>
        <w:spacing w:line="240" w:lineRule="auto"/>
        <w:rPr>
          <w:rFonts w:ascii="Calibri" w:eastAsia="Times New Roman" w:hAnsi="Calibri" w:cs="Calibri"/>
          <w:noProof w:val="0"/>
          <w:sz w:val="20"/>
          <w:szCs w:val="20"/>
          <w:lang w:eastAsia="sl-SI"/>
        </w:rPr>
      </w:pPr>
    </w:p>
    <w:p w:rsidR="00581C4E" w:rsidRPr="0030789E" w:rsidRDefault="00581C4E" w:rsidP="00C1540A">
      <w:pPr>
        <w:spacing w:line="240" w:lineRule="auto"/>
        <w:rPr>
          <w:rFonts w:ascii="Calibri" w:eastAsia="Times New Roman" w:hAnsi="Calibri" w:cs="Calibri"/>
          <w:b/>
          <w:bCs/>
          <w:noProof w:val="0"/>
          <w:sz w:val="20"/>
          <w:szCs w:val="20"/>
          <w:lang w:eastAsia="sl-SI"/>
        </w:rPr>
      </w:pPr>
    </w:p>
    <w:p w:rsidR="00847F54" w:rsidRDefault="00847F54" w:rsidP="00847F54">
      <w:pPr>
        <w:spacing w:line="240" w:lineRule="auto"/>
        <w:rPr>
          <w:rFonts w:ascii="Calibri" w:eastAsia="Times New Roman" w:hAnsi="Calibri" w:cs="Calibri"/>
          <w:noProof w:val="0"/>
          <w:sz w:val="20"/>
          <w:szCs w:val="20"/>
          <w:lang w:eastAsia="sl-SI"/>
        </w:rPr>
      </w:pPr>
      <w:r>
        <w:rPr>
          <w:rFonts w:ascii="Calibri" w:eastAsia="Times New Roman" w:hAnsi="Calibri" w:cs="Calibri"/>
          <w:noProof w:val="0"/>
          <w:sz w:val="20"/>
          <w:szCs w:val="20"/>
          <w:lang w:eastAsia="sl-SI"/>
        </w:rPr>
        <w:t>Igra »športne stave« je edina klasična igra na srečo v Republiki Sloveniji«, ki deluje po sistemu »bookma</w:t>
      </w:r>
      <w:r w:rsidR="00445249">
        <w:rPr>
          <w:rFonts w:ascii="Calibri" w:eastAsia="Times New Roman" w:hAnsi="Calibri" w:cs="Calibri"/>
          <w:noProof w:val="0"/>
          <w:sz w:val="20"/>
          <w:szCs w:val="20"/>
          <w:lang w:eastAsia="sl-SI"/>
        </w:rPr>
        <w:t xml:space="preserve">king«. </w:t>
      </w:r>
      <w:r w:rsidR="00B5248C">
        <w:rPr>
          <w:rFonts w:ascii="Calibri" w:eastAsia="Times New Roman" w:hAnsi="Calibri" w:cs="Calibri"/>
          <w:noProof w:val="0"/>
          <w:sz w:val="20"/>
          <w:szCs w:val="20"/>
          <w:lang w:eastAsia="sl-SI"/>
        </w:rPr>
        <w:t>S</w:t>
      </w:r>
      <w:r w:rsidR="00445249">
        <w:rPr>
          <w:rFonts w:ascii="Calibri" w:eastAsia="Times New Roman" w:hAnsi="Calibri" w:cs="Calibri"/>
          <w:noProof w:val="0"/>
          <w:sz w:val="20"/>
          <w:szCs w:val="20"/>
          <w:lang w:eastAsia="sl-SI"/>
        </w:rPr>
        <w:t xml:space="preserve">klad </w:t>
      </w:r>
      <w:r w:rsidR="00B5248C">
        <w:rPr>
          <w:rFonts w:ascii="Calibri" w:eastAsia="Times New Roman" w:hAnsi="Calibri" w:cs="Calibri"/>
          <w:noProof w:val="0"/>
          <w:sz w:val="20"/>
          <w:szCs w:val="20"/>
          <w:lang w:eastAsia="sl-SI"/>
        </w:rPr>
        <w:t xml:space="preserve">za dobitke </w:t>
      </w:r>
      <w:r w:rsidR="00445249">
        <w:rPr>
          <w:rFonts w:ascii="Calibri" w:eastAsia="Times New Roman" w:hAnsi="Calibri" w:cs="Calibri"/>
          <w:noProof w:val="0"/>
          <w:sz w:val="20"/>
          <w:szCs w:val="20"/>
          <w:lang w:eastAsia="sl-SI"/>
        </w:rPr>
        <w:t>ni znan v</w:t>
      </w:r>
      <w:r>
        <w:rPr>
          <w:rFonts w:ascii="Calibri" w:eastAsia="Times New Roman" w:hAnsi="Calibri" w:cs="Calibri"/>
          <w:noProof w:val="0"/>
          <w:sz w:val="20"/>
          <w:szCs w:val="20"/>
          <w:lang w:eastAsia="sl-SI"/>
        </w:rPr>
        <w:t xml:space="preserve">naprej, </w:t>
      </w:r>
      <w:r w:rsidR="00B5248C">
        <w:rPr>
          <w:rFonts w:ascii="Calibri" w:eastAsia="Times New Roman" w:hAnsi="Calibri" w:cs="Calibri"/>
          <w:noProof w:val="0"/>
          <w:sz w:val="20"/>
          <w:szCs w:val="20"/>
          <w:lang w:eastAsia="sl-SI"/>
        </w:rPr>
        <w:t>prireditelj</w:t>
      </w:r>
      <w:r>
        <w:rPr>
          <w:rFonts w:ascii="Calibri" w:eastAsia="Times New Roman" w:hAnsi="Calibri" w:cs="Calibri"/>
          <w:noProof w:val="0"/>
          <w:sz w:val="20"/>
          <w:szCs w:val="20"/>
          <w:lang w:eastAsia="sl-SI"/>
        </w:rPr>
        <w:t xml:space="preserve"> igre pa pogosto izplača več kot je dobil vplačano. </w:t>
      </w:r>
      <w:r w:rsidR="00C234EB">
        <w:rPr>
          <w:rFonts w:ascii="Calibri" w:eastAsia="Times New Roman" w:hAnsi="Calibri" w:cs="Calibri"/>
          <w:noProof w:val="0"/>
          <w:sz w:val="20"/>
          <w:szCs w:val="20"/>
          <w:lang w:eastAsia="sl-SI"/>
        </w:rPr>
        <w:t xml:space="preserve">Pri ostalih klasičnih igrah </w:t>
      </w:r>
      <w:r>
        <w:rPr>
          <w:rFonts w:ascii="Calibri" w:eastAsia="Times New Roman" w:hAnsi="Calibri" w:cs="Calibri"/>
          <w:noProof w:val="0"/>
          <w:sz w:val="20"/>
          <w:szCs w:val="20"/>
          <w:lang w:eastAsia="sl-SI"/>
        </w:rPr>
        <w:t xml:space="preserve">se ob vsakem vplačilu določen odstotek takoj nameni za oblikovanje sklada, s čimer je izključena možnost ustvariti negativni izid igre. </w:t>
      </w:r>
    </w:p>
    <w:p w:rsidR="00847F54" w:rsidRPr="0030789E" w:rsidRDefault="00847F54" w:rsidP="00847F54">
      <w:pPr>
        <w:spacing w:line="240" w:lineRule="auto"/>
        <w:rPr>
          <w:rFonts w:ascii="Calibri" w:eastAsia="Times New Roman" w:hAnsi="Calibri" w:cs="Calibri"/>
          <w:noProof w:val="0"/>
          <w:sz w:val="20"/>
          <w:szCs w:val="20"/>
          <w:lang w:eastAsia="sl-SI"/>
        </w:rPr>
      </w:pPr>
    </w:p>
    <w:p w:rsidR="00F66E26" w:rsidRDefault="00847F54" w:rsidP="00847F54">
      <w:pPr>
        <w:spacing w:after="240" w:line="240" w:lineRule="auto"/>
        <w:rPr>
          <w:rFonts w:ascii="Calibri" w:eastAsia="Times New Roman" w:hAnsi="Calibri" w:cs="Calibri"/>
          <w:noProof w:val="0"/>
          <w:sz w:val="20"/>
          <w:szCs w:val="20"/>
          <w:lang w:eastAsia="sl-SI"/>
        </w:rPr>
      </w:pPr>
      <w:r>
        <w:rPr>
          <w:rFonts w:ascii="Calibri" w:eastAsia="Times New Roman" w:hAnsi="Calibri" w:cs="Calibri"/>
          <w:noProof w:val="0"/>
          <w:sz w:val="20"/>
          <w:szCs w:val="20"/>
          <w:lang w:eastAsia="sl-SI"/>
        </w:rPr>
        <w:t>Ko Vlada Republike Slovenije določa stopnjo koncesijske dajatve, upošteva številne okoliščine in zlasti značilnosti posamezne igre, ki v</w:t>
      </w:r>
      <w:r w:rsidR="00001FD0">
        <w:rPr>
          <w:rFonts w:ascii="Calibri" w:eastAsia="Times New Roman" w:hAnsi="Calibri" w:cs="Calibri"/>
          <w:noProof w:val="0"/>
          <w:sz w:val="20"/>
          <w:szCs w:val="20"/>
          <w:lang w:eastAsia="sl-SI"/>
        </w:rPr>
        <w:t xml:space="preserve">plivajo na končni rezultat igre, in temu primerno odmeri višino koncesijske dajatve. </w:t>
      </w:r>
      <w:r>
        <w:rPr>
          <w:rFonts w:ascii="Calibri" w:eastAsia="Times New Roman" w:hAnsi="Calibri" w:cs="Calibri"/>
          <w:noProof w:val="0"/>
          <w:sz w:val="20"/>
          <w:szCs w:val="20"/>
          <w:lang w:eastAsia="sl-SI"/>
        </w:rPr>
        <w:t xml:space="preserve"> Pri pripravi Zakona o davku od srečk očitno nihče ni upošteval teh okoliščin in dejstev, saj je namenjen zlasti polnjenju integralnega proračuna. Tako so vse igre enako obdavčene, ne glede na dejstvo, da se v praksi to ne bo obneslo.</w:t>
      </w:r>
      <w:bookmarkStart w:id="0" w:name="_GoBack"/>
      <w:bookmarkEnd w:id="0"/>
    </w:p>
    <w:sectPr w:rsidR="00F66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E4" w:rsidRDefault="008F31E4" w:rsidP="00EE383F">
      <w:pPr>
        <w:spacing w:line="240" w:lineRule="auto"/>
      </w:pPr>
      <w:r>
        <w:separator/>
      </w:r>
    </w:p>
  </w:endnote>
  <w:endnote w:type="continuationSeparator" w:id="0">
    <w:p w:rsidR="008F31E4" w:rsidRDefault="008F31E4" w:rsidP="00EE3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E4" w:rsidRDefault="008F31E4" w:rsidP="00EE383F">
      <w:pPr>
        <w:spacing w:line="240" w:lineRule="auto"/>
      </w:pPr>
      <w:r>
        <w:separator/>
      </w:r>
    </w:p>
  </w:footnote>
  <w:footnote w:type="continuationSeparator" w:id="0">
    <w:p w:rsidR="008F31E4" w:rsidRDefault="008F31E4" w:rsidP="00EE38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7"/>
    <w:rsid w:val="00001FD0"/>
    <w:rsid w:val="00016643"/>
    <w:rsid w:val="00051ACA"/>
    <w:rsid w:val="000554A1"/>
    <w:rsid w:val="00076C95"/>
    <w:rsid w:val="000A4ECA"/>
    <w:rsid w:val="000E1775"/>
    <w:rsid w:val="000E7D8C"/>
    <w:rsid w:val="0010100F"/>
    <w:rsid w:val="00136A34"/>
    <w:rsid w:val="00137302"/>
    <w:rsid w:val="00145E07"/>
    <w:rsid w:val="00155973"/>
    <w:rsid w:val="00182888"/>
    <w:rsid w:val="00192F13"/>
    <w:rsid w:val="00197236"/>
    <w:rsid w:val="001C1B8D"/>
    <w:rsid w:val="001D1721"/>
    <w:rsid w:val="00212DAE"/>
    <w:rsid w:val="00220D95"/>
    <w:rsid w:val="002828DA"/>
    <w:rsid w:val="0030789E"/>
    <w:rsid w:val="00391466"/>
    <w:rsid w:val="00425F62"/>
    <w:rsid w:val="00427DE9"/>
    <w:rsid w:val="00445249"/>
    <w:rsid w:val="00451F37"/>
    <w:rsid w:val="00465E25"/>
    <w:rsid w:val="004D10F3"/>
    <w:rsid w:val="00581C4E"/>
    <w:rsid w:val="005960D7"/>
    <w:rsid w:val="005B3265"/>
    <w:rsid w:val="005F41D5"/>
    <w:rsid w:val="006306C3"/>
    <w:rsid w:val="006339CA"/>
    <w:rsid w:val="006D3BDA"/>
    <w:rsid w:val="007942BE"/>
    <w:rsid w:val="00795E07"/>
    <w:rsid w:val="007D3545"/>
    <w:rsid w:val="007D455D"/>
    <w:rsid w:val="007F3D67"/>
    <w:rsid w:val="00801F6F"/>
    <w:rsid w:val="00825AA3"/>
    <w:rsid w:val="00840AE4"/>
    <w:rsid w:val="00845EB9"/>
    <w:rsid w:val="008477A1"/>
    <w:rsid w:val="00847F54"/>
    <w:rsid w:val="00886887"/>
    <w:rsid w:val="008A5D67"/>
    <w:rsid w:val="008B15C9"/>
    <w:rsid w:val="008F31E4"/>
    <w:rsid w:val="008F3336"/>
    <w:rsid w:val="008F77D1"/>
    <w:rsid w:val="00983B64"/>
    <w:rsid w:val="00983E90"/>
    <w:rsid w:val="009A59E0"/>
    <w:rsid w:val="009E6A79"/>
    <w:rsid w:val="009F40E6"/>
    <w:rsid w:val="009F64BC"/>
    <w:rsid w:val="00A208F6"/>
    <w:rsid w:val="00A96A00"/>
    <w:rsid w:val="00AB6C86"/>
    <w:rsid w:val="00B5248C"/>
    <w:rsid w:val="00B7592D"/>
    <w:rsid w:val="00C1540A"/>
    <w:rsid w:val="00C234EB"/>
    <w:rsid w:val="00C66580"/>
    <w:rsid w:val="00C74D0B"/>
    <w:rsid w:val="00CB168E"/>
    <w:rsid w:val="00CB77EE"/>
    <w:rsid w:val="00CD1468"/>
    <w:rsid w:val="00D06FF0"/>
    <w:rsid w:val="00D1480F"/>
    <w:rsid w:val="00D264AA"/>
    <w:rsid w:val="00D34515"/>
    <w:rsid w:val="00D9389D"/>
    <w:rsid w:val="00DC1496"/>
    <w:rsid w:val="00E35594"/>
    <w:rsid w:val="00E860E9"/>
    <w:rsid w:val="00E90B5D"/>
    <w:rsid w:val="00EA4C9F"/>
    <w:rsid w:val="00EE383F"/>
    <w:rsid w:val="00F23530"/>
    <w:rsid w:val="00F258FE"/>
    <w:rsid w:val="00F51BFB"/>
    <w:rsid w:val="00F66E26"/>
    <w:rsid w:val="00F66F96"/>
    <w:rsid w:val="00FB514B"/>
    <w:rsid w:val="00FC6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E383F"/>
    <w:pPr>
      <w:tabs>
        <w:tab w:val="center" w:pos="4536"/>
        <w:tab w:val="right" w:pos="9072"/>
      </w:tabs>
      <w:spacing w:line="240" w:lineRule="auto"/>
    </w:pPr>
  </w:style>
  <w:style w:type="character" w:customStyle="1" w:styleId="GlavaZnak">
    <w:name w:val="Glava Znak"/>
    <w:basedOn w:val="Privzetapisavaodstavka"/>
    <w:link w:val="Glava"/>
    <w:uiPriority w:val="99"/>
    <w:rsid w:val="00EE383F"/>
    <w:rPr>
      <w:noProof/>
    </w:rPr>
  </w:style>
  <w:style w:type="paragraph" w:styleId="Noga">
    <w:name w:val="footer"/>
    <w:basedOn w:val="Navaden"/>
    <w:link w:val="NogaZnak"/>
    <w:uiPriority w:val="99"/>
    <w:unhideWhenUsed/>
    <w:rsid w:val="00EE383F"/>
    <w:pPr>
      <w:tabs>
        <w:tab w:val="center" w:pos="4536"/>
        <w:tab w:val="right" w:pos="9072"/>
      </w:tabs>
      <w:spacing w:line="240" w:lineRule="auto"/>
    </w:pPr>
  </w:style>
  <w:style w:type="character" w:customStyle="1" w:styleId="NogaZnak">
    <w:name w:val="Noga Znak"/>
    <w:basedOn w:val="Privzetapisavaodstavka"/>
    <w:link w:val="Noga"/>
    <w:uiPriority w:val="99"/>
    <w:rsid w:val="00EE383F"/>
    <w:rPr>
      <w:noProof/>
    </w:rPr>
  </w:style>
  <w:style w:type="paragraph" w:styleId="Besedilooblaka">
    <w:name w:val="Balloon Text"/>
    <w:basedOn w:val="Navaden"/>
    <w:link w:val="BesedilooblakaZnak"/>
    <w:uiPriority w:val="99"/>
    <w:semiHidden/>
    <w:unhideWhenUsed/>
    <w:rsid w:val="00581C4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1C4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E383F"/>
    <w:pPr>
      <w:tabs>
        <w:tab w:val="center" w:pos="4536"/>
        <w:tab w:val="right" w:pos="9072"/>
      </w:tabs>
      <w:spacing w:line="240" w:lineRule="auto"/>
    </w:pPr>
  </w:style>
  <w:style w:type="character" w:customStyle="1" w:styleId="GlavaZnak">
    <w:name w:val="Glava Znak"/>
    <w:basedOn w:val="Privzetapisavaodstavka"/>
    <w:link w:val="Glava"/>
    <w:uiPriority w:val="99"/>
    <w:rsid w:val="00EE383F"/>
    <w:rPr>
      <w:noProof/>
    </w:rPr>
  </w:style>
  <w:style w:type="paragraph" w:styleId="Noga">
    <w:name w:val="footer"/>
    <w:basedOn w:val="Navaden"/>
    <w:link w:val="NogaZnak"/>
    <w:uiPriority w:val="99"/>
    <w:unhideWhenUsed/>
    <w:rsid w:val="00EE383F"/>
    <w:pPr>
      <w:tabs>
        <w:tab w:val="center" w:pos="4536"/>
        <w:tab w:val="right" w:pos="9072"/>
      </w:tabs>
      <w:spacing w:line="240" w:lineRule="auto"/>
    </w:pPr>
  </w:style>
  <w:style w:type="character" w:customStyle="1" w:styleId="NogaZnak">
    <w:name w:val="Noga Znak"/>
    <w:basedOn w:val="Privzetapisavaodstavka"/>
    <w:link w:val="Noga"/>
    <w:uiPriority w:val="99"/>
    <w:rsid w:val="00EE383F"/>
    <w:rPr>
      <w:noProof/>
    </w:rPr>
  </w:style>
  <w:style w:type="paragraph" w:styleId="Besedilooblaka">
    <w:name w:val="Balloon Text"/>
    <w:basedOn w:val="Navaden"/>
    <w:link w:val="BesedilooblakaZnak"/>
    <w:uiPriority w:val="99"/>
    <w:semiHidden/>
    <w:unhideWhenUsed/>
    <w:rsid w:val="00581C4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1C4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5429">
      <w:bodyDiv w:val="1"/>
      <w:marLeft w:val="0"/>
      <w:marRight w:val="0"/>
      <w:marTop w:val="0"/>
      <w:marBottom w:val="0"/>
      <w:divBdr>
        <w:top w:val="none" w:sz="0" w:space="0" w:color="auto"/>
        <w:left w:val="none" w:sz="0" w:space="0" w:color="auto"/>
        <w:bottom w:val="none" w:sz="0" w:space="0" w:color="auto"/>
        <w:right w:val="none" w:sz="0" w:space="0" w:color="auto"/>
      </w:divBdr>
    </w:div>
    <w:div w:id="548954005">
      <w:bodyDiv w:val="1"/>
      <w:marLeft w:val="0"/>
      <w:marRight w:val="0"/>
      <w:marTop w:val="0"/>
      <w:marBottom w:val="0"/>
      <w:divBdr>
        <w:top w:val="none" w:sz="0" w:space="0" w:color="auto"/>
        <w:left w:val="none" w:sz="0" w:space="0" w:color="auto"/>
        <w:bottom w:val="none" w:sz="0" w:space="0" w:color="auto"/>
        <w:right w:val="none" w:sz="0" w:space="0" w:color="auto"/>
      </w:divBdr>
    </w:div>
    <w:div w:id="735131929">
      <w:bodyDiv w:val="1"/>
      <w:marLeft w:val="0"/>
      <w:marRight w:val="0"/>
      <w:marTop w:val="0"/>
      <w:marBottom w:val="0"/>
      <w:divBdr>
        <w:top w:val="none" w:sz="0" w:space="0" w:color="auto"/>
        <w:left w:val="none" w:sz="0" w:space="0" w:color="auto"/>
        <w:bottom w:val="none" w:sz="0" w:space="0" w:color="auto"/>
        <w:right w:val="none" w:sz="0" w:space="0" w:color="auto"/>
      </w:divBdr>
    </w:div>
    <w:div w:id="1367877132">
      <w:bodyDiv w:val="1"/>
      <w:marLeft w:val="0"/>
      <w:marRight w:val="0"/>
      <w:marTop w:val="0"/>
      <w:marBottom w:val="0"/>
      <w:divBdr>
        <w:top w:val="none" w:sz="0" w:space="0" w:color="auto"/>
        <w:left w:val="none" w:sz="0" w:space="0" w:color="auto"/>
        <w:bottom w:val="none" w:sz="0" w:space="0" w:color="auto"/>
        <w:right w:val="none" w:sz="0" w:space="0" w:color="auto"/>
      </w:divBdr>
    </w:div>
    <w:div w:id="19039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 Šeme</dc:creator>
  <cp:lastModifiedBy>Metoda Praprotnik</cp:lastModifiedBy>
  <cp:revision>3</cp:revision>
  <cp:lastPrinted>2014-03-14T12:01:00Z</cp:lastPrinted>
  <dcterms:created xsi:type="dcterms:W3CDTF">2014-03-31T07:22:00Z</dcterms:created>
  <dcterms:modified xsi:type="dcterms:W3CDTF">2014-03-31T07:25:00Z</dcterms:modified>
</cp:coreProperties>
</file>